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顺德政府质量奖</w:t>
      </w:r>
      <w:r>
        <w:rPr>
          <w:rFonts w:hint="eastAsia" w:ascii="方正小标宋简体" w:hAnsi="方正小标宋简体" w:eastAsia="方正小标宋简体" w:cs="方正小标宋简体"/>
          <w:sz w:val="44"/>
          <w:szCs w:val="44"/>
          <w:lang w:val="en-US" w:eastAsia="zh-CN"/>
        </w:rPr>
        <w:t>评审</w:t>
      </w:r>
      <w:r>
        <w:rPr>
          <w:rFonts w:hint="eastAsia" w:ascii="方正小标宋简体" w:hAnsi="方正小标宋简体" w:eastAsia="方正小标宋简体" w:cs="方正小标宋简体"/>
          <w:sz w:val="44"/>
          <w:szCs w:val="44"/>
        </w:rPr>
        <w:t>细则</w:t>
      </w:r>
    </w:p>
    <w:p>
      <w:pPr>
        <w:spacing w:line="560" w:lineRule="exact"/>
        <w:ind w:firstLine="640" w:firstLineChars="200"/>
        <w:rPr>
          <w:szCs w:val="32"/>
        </w:rPr>
      </w:pP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根据《中国质量奖评审要点》</w:t>
      </w:r>
      <w:r>
        <w:rPr>
          <w:rFonts w:hint="eastAsia" w:ascii="仿宋_GB2312" w:hAnsi="仿宋_GB2312" w:eastAsia="仿宋_GB2312" w:cs="仿宋_GB2312"/>
          <w:color w:val="000000" w:themeColor="text1"/>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w:t>
      </w:r>
      <w:r>
        <w:rPr>
          <w:rFonts w:hint="eastAsia" w:ascii="Times New Roman" w:hAnsi="Times New Roman" w:eastAsia="仿宋_GB2312" w:cs="仿宋_GB2312"/>
          <w:color w:val="000000" w:themeColor="text1"/>
          <w:sz w:val="32"/>
          <w:szCs w:val="32"/>
          <w:highlight w:val="none"/>
          <w:lang w:val="en-US" w:eastAsia="zh-CN"/>
          <w14:textFill>
            <w14:solidFill>
              <w14:schemeClr w14:val="tx1"/>
            </w14:solidFill>
          </w14:textFill>
        </w:rPr>
        <w:t>广东省政府质量奖评分要点（一线班组）</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w:t>
      </w:r>
      <w:r>
        <w:rPr>
          <w:rFonts w:hint="eastAsia" w:ascii="仿宋_GB2312" w:hAnsi="仿宋_GB2312" w:eastAsia="仿宋_GB2312" w:cs="仿宋_GB2312"/>
          <w:color w:val="000000" w:themeColor="text1"/>
          <w:szCs w:val="32"/>
          <w:highlight w:val="none"/>
          <w14:textFill>
            <w14:solidFill>
              <w14:schemeClr w14:val="tx1"/>
            </w14:solidFill>
          </w14:textFill>
        </w:rPr>
        <w:t>《顺德政府质量奖评审管理办法》</w:t>
      </w:r>
      <w:r>
        <w:rPr>
          <w:rFonts w:hint="eastAsia" w:ascii="仿宋_GB2312" w:hAnsi="仿宋_GB2312" w:eastAsia="仿宋_GB2312" w:cs="仿宋_GB2312"/>
          <w:color w:val="000000" w:themeColor="text1"/>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Cs w:val="32"/>
          <w:highlight w:val="none"/>
          <w:lang w:val="en-US" w:eastAsia="zh-CN"/>
          <w14:textFill>
            <w14:solidFill>
              <w14:schemeClr w14:val="tx1"/>
            </w14:solidFill>
          </w14:textFill>
        </w:rPr>
        <w:t>顺府办发〔2022〕9号</w:t>
      </w:r>
      <w:r>
        <w:rPr>
          <w:rFonts w:hint="eastAsia" w:ascii="仿宋_GB2312" w:hAnsi="仿宋_GB2312" w:eastAsia="仿宋_GB2312" w:cs="仿宋_GB2312"/>
          <w:color w:val="000000" w:themeColor="text1"/>
          <w:szCs w:val="32"/>
          <w:highlight w:val="none"/>
          <w:lang w:eastAsia="zh-CN"/>
          <w14:textFill>
            <w14:solidFill>
              <w14:schemeClr w14:val="tx1"/>
            </w14:solidFill>
          </w14:textFill>
        </w:rPr>
        <w:t>）</w:t>
      </w:r>
      <w:r>
        <w:rPr>
          <w:rFonts w:hint="eastAsia" w:ascii="仿宋_GB2312" w:hAnsi="仿宋_GB2312" w:cs="仿宋_GB2312"/>
          <w:color w:val="000000" w:themeColor="text1"/>
          <w:szCs w:val="32"/>
          <w:highlight w:val="none"/>
          <w:lang w:val="en-US" w:eastAsia="zh-CN"/>
          <w14:textFill>
            <w14:solidFill>
              <w14:schemeClr w14:val="tx1"/>
            </w14:solidFill>
          </w14:textFill>
        </w:rPr>
        <w:t>的有关</w:t>
      </w:r>
      <w:r>
        <w:rPr>
          <w:rFonts w:hint="eastAsia" w:ascii="仿宋_GB2312" w:hAnsi="仿宋_GB2312" w:eastAsia="仿宋_GB2312" w:cs="仿宋_GB2312"/>
          <w:color w:val="000000" w:themeColor="text1"/>
          <w:szCs w:val="32"/>
          <w:highlight w:val="none"/>
          <w14:textFill>
            <w14:solidFill>
              <w14:schemeClr w14:val="tx1"/>
            </w14:solidFill>
          </w14:textFill>
        </w:rPr>
        <w:t>规定，结合顺德实际，制定本细则。</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黑体" w:hAnsi="黑体" w:eastAsia="黑体" w:cs="黑体"/>
          <w:color w:val="000000" w:themeColor="text1"/>
          <w:szCs w:val="32"/>
          <w:highlight w:val="none"/>
          <w:lang w:val="en-US" w:eastAsia="zh-CN"/>
          <w14:textFill>
            <w14:solidFill>
              <w14:schemeClr w14:val="tx1"/>
            </w14:solidFill>
          </w14:textFill>
        </w:rPr>
        <w:t>一</w:t>
      </w:r>
      <w:r>
        <w:rPr>
          <w:rFonts w:hint="eastAsia" w:ascii="黑体" w:hAnsi="黑体" w:eastAsia="黑体" w:cs="黑体"/>
          <w:color w:val="000000" w:themeColor="text1"/>
          <w:szCs w:val="32"/>
          <w:highlight w:val="none"/>
          <w14:textFill>
            <w14:solidFill>
              <w14:schemeClr w14:val="tx1"/>
            </w14:solidFill>
          </w14:textFill>
        </w:rPr>
        <w:t>、评审对象</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申报</w:t>
      </w:r>
      <w:r>
        <w:rPr>
          <w:rFonts w:hint="eastAsia" w:ascii="仿宋_GB2312" w:hAnsi="仿宋_GB2312" w:cs="仿宋_GB2312"/>
          <w:color w:val="000000" w:themeColor="text1"/>
          <w:szCs w:val="32"/>
          <w:highlight w:val="none"/>
          <w:lang w:val="en-US" w:eastAsia="zh-CN"/>
          <w14:textFill>
            <w14:solidFill>
              <w14:schemeClr w14:val="tx1"/>
            </w14:solidFill>
          </w14:textFill>
        </w:rPr>
        <w:t>顺德</w:t>
      </w:r>
      <w:r>
        <w:rPr>
          <w:rFonts w:hint="eastAsia" w:ascii="仿宋_GB2312" w:hAnsi="仿宋_GB2312" w:eastAsia="仿宋_GB2312" w:cs="仿宋_GB2312"/>
          <w:color w:val="000000" w:themeColor="text1"/>
          <w:szCs w:val="32"/>
          <w:highlight w:val="none"/>
          <w14:textFill>
            <w14:solidFill>
              <w14:schemeClr w14:val="tx1"/>
            </w14:solidFill>
          </w14:textFill>
        </w:rPr>
        <w:t>政府质量奖、一线班组奖的组织</w:t>
      </w:r>
      <w:r>
        <w:rPr>
          <w:rFonts w:hint="eastAsia" w:ascii="仿宋_GB2312" w:hAnsi="仿宋_GB2312" w:cs="仿宋_GB2312"/>
          <w:color w:val="000000" w:themeColor="text1"/>
          <w:szCs w:val="32"/>
          <w:highlight w:val="none"/>
          <w:lang w:eastAsia="zh-CN"/>
          <w14:textFill>
            <w14:solidFill>
              <w14:schemeClr w14:val="tx1"/>
            </w14:solidFill>
          </w14:textFill>
        </w:rPr>
        <w:t>、</w:t>
      </w:r>
      <w:r>
        <w:rPr>
          <w:rFonts w:hint="eastAsia" w:ascii="仿宋_GB2312" w:hAnsi="仿宋_GB2312" w:cs="仿宋_GB2312"/>
          <w:color w:val="000000" w:themeColor="text1"/>
          <w:szCs w:val="32"/>
          <w:highlight w:val="none"/>
          <w:lang w:val="en-US" w:eastAsia="zh-CN"/>
          <w14:textFill>
            <w14:solidFill>
              <w14:schemeClr w14:val="tx1"/>
            </w14:solidFill>
          </w14:textFill>
        </w:rPr>
        <w:t>班组</w:t>
      </w:r>
      <w:r>
        <w:rPr>
          <w:rFonts w:hint="eastAsia" w:ascii="仿宋_GB2312" w:hAnsi="仿宋_GB2312" w:eastAsia="仿宋_GB2312" w:cs="仿宋_GB2312"/>
          <w:color w:val="000000" w:themeColor="text1"/>
          <w:szCs w:val="32"/>
          <w:highlight w:val="none"/>
          <w14:textFill>
            <w14:solidFill>
              <w14:schemeClr w14:val="tx1"/>
            </w14:solidFill>
          </w14:textFill>
        </w:rPr>
        <w:t>。</w:t>
      </w:r>
    </w:p>
    <w:p>
      <w:pPr>
        <w:spacing w:line="560" w:lineRule="exact"/>
        <w:ind w:firstLine="640" w:firstLineChars="200"/>
        <w:rPr>
          <w:rFonts w:hint="eastAsia" w:ascii="黑体" w:hAnsi="黑体" w:eastAsia="黑体" w:cs="黑体"/>
          <w:color w:val="000000" w:themeColor="text1"/>
          <w:szCs w:val="32"/>
          <w:highlight w:val="none"/>
          <w14:textFill>
            <w14:solidFill>
              <w14:schemeClr w14:val="tx1"/>
            </w14:solidFill>
          </w14:textFill>
        </w:rPr>
      </w:pPr>
      <w:r>
        <w:rPr>
          <w:rFonts w:hint="eastAsia" w:ascii="黑体" w:hAnsi="黑体" w:eastAsia="黑体" w:cs="黑体"/>
          <w:color w:val="000000" w:themeColor="text1"/>
          <w:szCs w:val="32"/>
          <w:highlight w:val="none"/>
          <w14:textFill>
            <w14:solidFill>
              <w14:schemeClr w14:val="tx1"/>
            </w14:solidFill>
          </w14:textFill>
        </w:rPr>
        <w:t>三、组织管理</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顺德政府质量奖评审委员会秘书处（以下简称秘书处）负责组织、协调政府质量奖评审的日常管理工作。</w:t>
      </w:r>
    </w:p>
    <w:p>
      <w:pPr>
        <w:spacing w:line="560" w:lineRule="exact"/>
        <w:ind w:firstLine="640" w:firstLineChars="200"/>
        <w:rPr>
          <w:rFonts w:hint="eastAsia" w:ascii="黑体" w:hAnsi="黑体" w:eastAsia="黑体" w:cs="黑体"/>
          <w:color w:val="000000" w:themeColor="text1"/>
          <w:szCs w:val="32"/>
          <w:highlight w:val="none"/>
          <w14:textFill>
            <w14:solidFill>
              <w14:schemeClr w14:val="tx1"/>
            </w14:solidFill>
          </w14:textFill>
        </w:rPr>
      </w:pPr>
      <w:r>
        <w:rPr>
          <w:rFonts w:hint="eastAsia" w:ascii="黑体" w:hAnsi="黑体" w:eastAsia="黑体" w:cs="黑体"/>
          <w:color w:val="000000" w:themeColor="text1"/>
          <w:szCs w:val="32"/>
          <w:highlight w:val="none"/>
          <w:lang w:val="en-US" w:eastAsia="zh-CN"/>
          <w14:textFill>
            <w14:solidFill>
              <w14:schemeClr w14:val="tx1"/>
            </w14:solidFill>
          </w14:textFill>
        </w:rPr>
        <w:t>三、</w:t>
      </w:r>
      <w:r>
        <w:rPr>
          <w:rFonts w:hint="eastAsia" w:ascii="黑体" w:hAnsi="黑体" w:eastAsia="黑体" w:cs="黑体"/>
          <w:color w:val="000000" w:themeColor="text1"/>
          <w:szCs w:val="32"/>
          <w:highlight w:val="none"/>
          <w14:textFill>
            <w14:solidFill>
              <w14:schemeClr w14:val="tx1"/>
            </w14:solidFill>
          </w14:textFill>
        </w:rPr>
        <w:t>评审专家</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秘书处聘请具备评审资质的专家开展专业评审。</w:t>
      </w:r>
    </w:p>
    <w:p>
      <w:pPr>
        <w:spacing w:line="560" w:lineRule="exact"/>
        <w:ind w:firstLine="640" w:firstLineChars="200"/>
        <w:rPr>
          <w:rFonts w:hint="eastAsia" w:ascii="黑体" w:hAnsi="黑体" w:eastAsia="黑体" w:cs="黑体"/>
          <w:color w:val="000000" w:themeColor="text1"/>
          <w:szCs w:val="32"/>
          <w:highlight w:val="none"/>
          <w14:textFill>
            <w14:solidFill>
              <w14:schemeClr w14:val="tx1"/>
            </w14:solidFill>
          </w14:textFill>
        </w:rPr>
      </w:pPr>
      <w:r>
        <w:rPr>
          <w:rFonts w:hint="eastAsia" w:ascii="黑体" w:hAnsi="黑体" w:eastAsia="黑体" w:cs="黑体"/>
          <w:color w:val="000000" w:themeColor="text1"/>
          <w:szCs w:val="32"/>
          <w:highlight w:val="none"/>
          <w:lang w:val="en-US" w:eastAsia="zh-CN"/>
          <w14:textFill>
            <w14:solidFill>
              <w14:schemeClr w14:val="tx1"/>
            </w14:solidFill>
          </w14:textFill>
        </w:rPr>
        <w:t>四</w:t>
      </w:r>
      <w:r>
        <w:rPr>
          <w:rFonts w:hint="eastAsia" w:ascii="黑体" w:hAnsi="黑体" w:eastAsia="黑体" w:cs="黑体"/>
          <w:color w:val="000000" w:themeColor="text1"/>
          <w:szCs w:val="32"/>
          <w:highlight w:val="none"/>
          <w14:textFill>
            <w14:solidFill>
              <w14:schemeClr w14:val="tx1"/>
            </w14:solidFill>
          </w14:textFill>
        </w:rPr>
        <w:t>、</w:t>
      </w:r>
      <w:r>
        <w:rPr>
          <w:rFonts w:hint="eastAsia" w:ascii="黑体" w:hAnsi="黑体" w:eastAsia="黑体" w:cs="黑体"/>
          <w:color w:val="000000" w:themeColor="text1"/>
          <w:szCs w:val="32"/>
          <w:highlight w:val="none"/>
          <w:lang w:val="en-US" w:eastAsia="zh-CN"/>
          <w14:textFill>
            <w14:solidFill>
              <w14:schemeClr w14:val="tx1"/>
            </w14:solidFill>
          </w14:textFill>
        </w:rPr>
        <w:t>评审标准</w:t>
      </w:r>
    </w:p>
    <w:p>
      <w:pPr>
        <w:spacing w:line="560" w:lineRule="exact"/>
        <w:ind w:firstLine="640" w:firstLineChars="200"/>
        <w:rPr>
          <w:rFonts w:hint="eastAsia" w:ascii="楷体_GB2312" w:eastAsia="楷体_GB2312"/>
          <w:color w:val="000000" w:themeColor="text1"/>
          <w:szCs w:val="32"/>
          <w:highlight w:val="none"/>
          <w14:textFill>
            <w14:solidFill>
              <w14:schemeClr w14:val="tx1"/>
            </w14:solidFill>
          </w14:textFill>
        </w:rPr>
      </w:pPr>
      <w:r>
        <w:rPr>
          <w:rFonts w:hint="eastAsia" w:ascii="楷体_GB2312" w:eastAsia="楷体_GB2312"/>
          <w:color w:val="000000" w:themeColor="text1"/>
          <w:szCs w:val="32"/>
          <w:highlight w:val="none"/>
          <w:lang w:eastAsia="zh-CN"/>
          <w14:textFill>
            <w14:solidFill>
              <w14:schemeClr w14:val="tx1"/>
            </w14:solidFill>
          </w14:textFill>
        </w:rPr>
        <w:t>（</w:t>
      </w:r>
      <w:r>
        <w:rPr>
          <w:rFonts w:hint="eastAsia" w:ascii="楷体_GB2312" w:eastAsia="楷体_GB2312"/>
          <w:color w:val="000000" w:themeColor="text1"/>
          <w:szCs w:val="32"/>
          <w:highlight w:val="none"/>
          <w:lang w:val="en-US" w:eastAsia="zh-CN"/>
          <w14:textFill>
            <w14:solidFill>
              <w14:schemeClr w14:val="tx1"/>
            </w14:solidFill>
          </w14:textFill>
        </w:rPr>
        <w:t>一</w:t>
      </w:r>
      <w:r>
        <w:rPr>
          <w:rFonts w:hint="eastAsia" w:ascii="楷体_GB2312" w:eastAsia="楷体_GB2312"/>
          <w:color w:val="000000" w:themeColor="text1"/>
          <w:szCs w:val="32"/>
          <w:highlight w:val="none"/>
          <w:lang w:eastAsia="zh-CN"/>
          <w14:textFill>
            <w14:solidFill>
              <w14:schemeClr w14:val="tx1"/>
            </w14:solidFill>
          </w14:textFill>
        </w:rPr>
        <w:t>）</w:t>
      </w:r>
      <w:r>
        <w:rPr>
          <w:rFonts w:hint="eastAsia" w:ascii="楷体_GB2312" w:eastAsia="楷体_GB2312"/>
          <w:color w:val="000000" w:themeColor="text1"/>
          <w:szCs w:val="32"/>
          <w:highlight w:val="none"/>
          <w14:textFill>
            <w14:solidFill>
              <w14:schemeClr w14:val="tx1"/>
            </w14:solidFill>
          </w14:textFill>
        </w:rPr>
        <w:t>政府质量奖</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政府质量奖</w:t>
      </w:r>
      <w:r>
        <w:rPr>
          <w:rFonts w:hint="eastAsia" w:ascii="仿宋_GB2312" w:hAnsi="仿宋_GB2312" w:cs="仿宋_GB2312"/>
          <w:color w:val="000000" w:themeColor="text1"/>
          <w:szCs w:val="32"/>
          <w:highlight w:val="none"/>
          <w:lang w:val="en-US" w:eastAsia="zh-CN"/>
          <w14:textFill>
            <w14:solidFill>
              <w14:schemeClr w14:val="tx1"/>
            </w14:solidFill>
          </w14:textFill>
        </w:rPr>
        <w:t>的评审标准</w:t>
      </w:r>
      <w:r>
        <w:rPr>
          <w:rFonts w:hint="eastAsia" w:ascii="仿宋_GB2312" w:hAnsi="仿宋_GB2312" w:eastAsia="仿宋_GB2312" w:cs="仿宋_GB2312"/>
          <w:color w:val="000000" w:themeColor="text1"/>
          <w:szCs w:val="32"/>
          <w:highlight w:val="none"/>
          <w14:textFill>
            <w14:solidFill>
              <w14:schemeClr w14:val="tx1"/>
            </w14:solidFill>
          </w14:textFill>
        </w:rPr>
        <w:t>依据《卓越绩效评价准则》（GB/T19580最新版,附件1）、《卓越绩效评价标准实施指南》（GB/T195</w:t>
      </w:r>
      <w:r>
        <w:rPr>
          <w:rFonts w:hint="eastAsia" w:ascii="仿宋_GB2312" w:hAnsi="仿宋_GB2312" w:cs="仿宋_GB2312"/>
          <w:color w:val="000000" w:themeColor="text1"/>
          <w:szCs w:val="32"/>
          <w:highlight w:val="none"/>
          <w:lang w:val="en-US" w:eastAsia="zh-CN"/>
          <w14:textFill>
            <w14:solidFill>
              <w14:schemeClr w14:val="tx1"/>
            </w14:solidFill>
          </w14:textFill>
        </w:rPr>
        <w:t>79</w:t>
      </w:r>
      <w:r>
        <w:rPr>
          <w:rFonts w:hint="eastAsia" w:ascii="仿宋_GB2312" w:hAnsi="仿宋_GB2312" w:eastAsia="仿宋_GB2312" w:cs="仿宋_GB2312"/>
          <w:color w:val="000000" w:themeColor="text1"/>
          <w:szCs w:val="32"/>
          <w:highlight w:val="none"/>
          <w14:textFill>
            <w14:solidFill>
              <w14:schemeClr w14:val="tx1"/>
            </w14:solidFill>
          </w14:textFill>
        </w:rPr>
        <w:t>最新版,附件2）</w:t>
      </w:r>
      <w:r>
        <w:rPr>
          <w:rFonts w:hint="eastAsia" w:ascii="仿宋_GB2312" w:hAnsi="仿宋_GB2312" w:cs="仿宋_GB2312"/>
          <w:color w:val="000000" w:themeColor="text1"/>
          <w:szCs w:val="32"/>
          <w:highlight w:val="none"/>
          <w:lang w:eastAsia="zh-CN"/>
          <w14:textFill>
            <w14:solidFill>
              <w14:schemeClr w14:val="tx1"/>
            </w14:solidFill>
          </w14:textFill>
        </w:rPr>
        <w:t>，</w:t>
      </w:r>
      <w:r>
        <w:rPr>
          <w:rFonts w:hint="eastAsia" w:ascii="仿宋_GB2312" w:hAnsi="仿宋_GB2312" w:cs="仿宋_GB2312"/>
          <w:color w:val="000000" w:themeColor="text1"/>
          <w:szCs w:val="32"/>
          <w:highlight w:val="none"/>
          <w:lang w:val="en-US" w:eastAsia="zh-CN"/>
          <w14:textFill>
            <w14:solidFill>
              <w14:schemeClr w14:val="tx1"/>
            </w14:solidFill>
          </w14:textFill>
        </w:rPr>
        <w:t>根据标准分别开展材料评审和现场评审。</w:t>
      </w:r>
    </w:p>
    <w:p>
      <w:pPr>
        <w:spacing w:line="560" w:lineRule="exact"/>
        <w:ind w:firstLine="640" w:firstLineChars="200"/>
        <w:rPr>
          <w:rFonts w:hint="eastAsia" w:ascii="楷体_GB2312" w:eastAsia="楷体_GB2312"/>
          <w:color w:val="000000" w:themeColor="text1"/>
          <w:szCs w:val="32"/>
          <w:highlight w:val="none"/>
          <w:lang w:eastAsia="zh-CN"/>
          <w14:textFill>
            <w14:solidFill>
              <w14:schemeClr w14:val="tx1"/>
            </w14:solidFill>
          </w14:textFill>
        </w:rPr>
      </w:pPr>
      <w:r>
        <w:rPr>
          <w:rFonts w:hint="eastAsia" w:ascii="楷体_GB2312" w:eastAsia="楷体_GB2312"/>
          <w:color w:val="000000" w:themeColor="text1"/>
          <w:szCs w:val="32"/>
          <w:highlight w:val="none"/>
          <w:lang w:eastAsia="zh-CN"/>
          <w14:textFill>
            <w14:solidFill>
              <w14:schemeClr w14:val="tx1"/>
            </w14:solidFill>
          </w14:textFill>
        </w:rPr>
        <w:t>（</w:t>
      </w:r>
      <w:r>
        <w:rPr>
          <w:rFonts w:hint="eastAsia" w:ascii="楷体_GB2312" w:eastAsia="楷体_GB2312"/>
          <w:color w:val="000000" w:themeColor="text1"/>
          <w:szCs w:val="32"/>
          <w:highlight w:val="none"/>
          <w:lang w:val="en-US" w:eastAsia="zh-CN"/>
          <w14:textFill>
            <w14:solidFill>
              <w14:schemeClr w14:val="tx1"/>
            </w14:solidFill>
          </w14:textFill>
        </w:rPr>
        <w:t>二</w:t>
      </w:r>
      <w:r>
        <w:rPr>
          <w:rFonts w:hint="eastAsia" w:ascii="楷体_GB2312" w:eastAsia="楷体_GB2312"/>
          <w:color w:val="000000" w:themeColor="text1"/>
          <w:szCs w:val="32"/>
          <w:highlight w:val="none"/>
          <w:lang w:eastAsia="zh-CN"/>
          <w14:textFill>
            <w14:solidFill>
              <w14:schemeClr w14:val="tx1"/>
            </w14:solidFill>
          </w14:textFill>
        </w:rPr>
        <w:t>）一线班组奖</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一线班组奖</w:t>
      </w:r>
      <w:r>
        <w:rPr>
          <w:rFonts w:hint="eastAsia" w:ascii="仿宋_GB2312" w:hAnsi="仿宋_GB2312" w:cs="仿宋_GB2312"/>
          <w:color w:val="000000" w:themeColor="text1"/>
          <w:szCs w:val="32"/>
          <w:highlight w:val="none"/>
          <w:lang w:val="en-US" w:eastAsia="zh-CN"/>
          <w14:textFill>
            <w14:solidFill>
              <w14:schemeClr w14:val="tx1"/>
            </w14:solidFill>
          </w14:textFill>
        </w:rPr>
        <w:t>的</w:t>
      </w:r>
      <w:r>
        <w:rPr>
          <w:rFonts w:hint="eastAsia" w:ascii="仿宋_GB2312" w:hAnsi="仿宋_GB2312" w:eastAsia="仿宋_GB2312" w:cs="仿宋_GB2312"/>
          <w:color w:val="000000" w:themeColor="text1"/>
          <w:szCs w:val="32"/>
          <w:highlight w:val="none"/>
          <w14:textFill>
            <w14:solidFill>
              <w14:schemeClr w14:val="tx1"/>
            </w14:solidFill>
          </w14:textFill>
        </w:rPr>
        <w:t>评审</w:t>
      </w:r>
      <w:r>
        <w:rPr>
          <w:rFonts w:hint="eastAsia" w:ascii="仿宋_GB2312" w:hAnsi="仿宋_GB2312" w:cs="仿宋_GB2312"/>
          <w:color w:val="000000" w:themeColor="text1"/>
          <w:szCs w:val="32"/>
          <w:highlight w:val="none"/>
          <w:lang w:val="en-US" w:eastAsia="zh-CN"/>
          <w14:textFill>
            <w14:solidFill>
              <w14:schemeClr w14:val="tx1"/>
            </w14:solidFill>
          </w14:textFill>
        </w:rPr>
        <w:t>依据是《广东省政府质量奖评分要点（一线班组）》，根据标准分别开展材料评审和现场核查。</w:t>
      </w:r>
    </w:p>
    <w:p>
      <w:pPr>
        <w:spacing w:line="560" w:lineRule="exact"/>
        <w:ind w:firstLine="640" w:firstLineChars="200"/>
        <w:rPr>
          <w:rFonts w:ascii="黑体" w:hAnsi="黑体" w:eastAsia="黑体" w:cs="黑体"/>
          <w:color w:val="000000" w:themeColor="text1"/>
          <w:szCs w:val="32"/>
          <w:highlight w:val="none"/>
          <w14:textFill>
            <w14:solidFill>
              <w14:schemeClr w14:val="tx1"/>
            </w14:solidFill>
          </w14:textFill>
        </w:rPr>
      </w:pPr>
      <w:r>
        <w:rPr>
          <w:rFonts w:hint="eastAsia" w:ascii="黑体" w:hAnsi="黑体" w:eastAsia="黑体" w:cs="黑体"/>
          <w:color w:val="000000" w:themeColor="text1"/>
          <w:szCs w:val="32"/>
          <w:highlight w:val="none"/>
          <w:lang w:val="en-US" w:eastAsia="zh-CN"/>
          <w14:textFill>
            <w14:solidFill>
              <w14:schemeClr w14:val="tx1"/>
            </w14:solidFill>
          </w14:textFill>
        </w:rPr>
        <w:t>五</w:t>
      </w:r>
      <w:r>
        <w:rPr>
          <w:rFonts w:hint="eastAsia" w:ascii="黑体" w:hAnsi="黑体" w:eastAsia="黑体" w:cs="黑体"/>
          <w:color w:val="000000" w:themeColor="text1"/>
          <w:szCs w:val="32"/>
          <w:highlight w:val="none"/>
          <w14:textFill>
            <w14:solidFill>
              <w14:schemeClr w14:val="tx1"/>
            </w14:solidFill>
          </w14:textFill>
        </w:rPr>
        <w:t>、评审</w:t>
      </w:r>
      <w:r>
        <w:rPr>
          <w:rFonts w:hint="eastAsia" w:ascii="黑体" w:hAnsi="黑体" w:eastAsia="黑体" w:cs="黑体"/>
          <w:color w:val="000000" w:themeColor="text1"/>
          <w:szCs w:val="32"/>
          <w:highlight w:val="none"/>
          <w:lang w:val="en-US" w:eastAsia="zh-CN"/>
          <w14:textFill>
            <w14:solidFill>
              <w14:schemeClr w14:val="tx1"/>
            </w14:solidFill>
          </w14:textFill>
        </w:rPr>
        <w:t>流程</w:t>
      </w:r>
    </w:p>
    <w:p>
      <w:pPr>
        <w:widowControl w:val="0"/>
        <w:spacing w:line="560" w:lineRule="exact"/>
        <w:ind w:firstLine="643" w:firstLineChars="200"/>
        <w:rPr>
          <w:rFonts w:ascii="仿宋_GB2312" w:eastAsia="仿宋_GB2312"/>
          <w:b/>
          <w:bCs/>
          <w:color w:val="000000" w:themeColor="text1"/>
          <w:sz w:val="32"/>
          <w:szCs w:val="32"/>
          <w:highlight w:val="none"/>
          <w14:textFill>
            <w14:solidFill>
              <w14:schemeClr w14:val="tx1"/>
            </w14:solidFill>
          </w14:textFill>
        </w:rPr>
      </w:pPr>
      <w:r>
        <w:rPr>
          <w:rFonts w:hint="eastAsia" w:ascii="仿宋_GB2312" w:eastAsia="仿宋_GB2312"/>
          <w:b/>
          <w:bCs/>
          <w:color w:val="000000" w:themeColor="text1"/>
          <w:sz w:val="32"/>
          <w:szCs w:val="32"/>
          <w:highlight w:val="none"/>
          <w:lang w:eastAsia="zh-CN"/>
          <w14:textFill>
            <w14:solidFill>
              <w14:schemeClr w14:val="tx1"/>
            </w14:solidFill>
          </w14:textFill>
        </w:rPr>
        <w:t>（一）</w:t>
      </w:r>
      <w:r>
        <w:rPr>
          <w:rFonts w:hint="eastAsia" w:ascii="仿宋_GB2312" w:eastAsia="仿宋_GB2312"/>
          <w:b/>
          <w:bCs/>
          <w:color w:val="000000" w:themeColor="text1"/>
          <w:sz w:val="32"/>
          <w:szCs w:val="32"/>
          <w:highlight w:val="none"/>
          <w14:textFill>
            <w14:solidFill>
              <w14:schemeClr w14:val="tx1"/>
            </w14:solidFill>
          </w14:textFill>
        </w:rPr>
        <w:t>评审启动</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（1）发布通知。</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bookmarkStart w:id="0" w:name="_Hlk89789585"/>
      <w:r>
        <w:rPr>
          <w:rFonts w:hint="eastAsia" w:ascii="仿宋_GB2312" w:eastAsia="仿宋_GB2312"/>
          <w:color w:val="000000" w:themeColor="text1"/>
          <w:sz w:val="32"/>
          <w:szCs w:val="32"/>
          <w:highlight w:val="none"/>
          <w14:textFill>
            <w14:solidFill>
              <w14:schemeClr w14:val="tx1"/>
            </w14:solidFill>
          </w14:textFill>
        </w:rPr>
        <w:t>秘书处向社会</w:t>
      </w:r>
      <w:r>
        <w:rPr>
          <w:rFonts w:hint="eastAsia" w:ascii="仿宋_GB2312" w:eastAsia="仿宋_GB2312"/>
          <w:color w:val="000000" w:themeColor="text1"/>
          <w:sz w:val="32"/>
          <w:szCs w:val="32"/>
          <w:highlight w:val="none"/>
          <w:lang w:val="en-US" w:eastAsia="zh-CN"/>
          <w14:textFill>
            <w14:solidFill>
              <w14:schemeClr w14:val="tx1"/>
            </w14:solidFill>
          </w14:textFill>
        </w:rPr>
        <w:t>发布年度</w:t>
      </w:r>
      <w:r>
        <w:rPr>
          <w:rFonts w:hint="eastAsia" w:ascii="仿宋_GB2312" w:eastAsia="仿宋_GB2312"/>
          <w:color w:val="000000" w:themeColor="text1"/>
          <w:sz w:val="32"/>
          <w:szCs w:val="32"/>
          <w:highlight w:val="none"/>
          <w14:textFill>
            <w14:solidFill>
              <w14:schemeClr w14:val="tx1"/>
            </w14:solidFill>
          </w14:textFill>
        </w:rPr>
        <w:t>顺德政府质量奖申报工作通知</w:t>
      </w:r>
      <w:bookmarkEnd w:id="0"/>
      <w:r>
        <w:rPr>
          <w:rFonts w:hint="eastAsia" w:ascii="仿宋_GB2312" w:eastAsia="仿宋_GB2312"/>
          <w:color w:val="000000" w:themeColor="text1"/>
          <w:sz w:val="32"/>
          <w:szCs w:val="32"/>
          <w:highlight w:val="none"/>
          <w:lang w:eastAsia="zh-CN"/>
          <w14:textFill>
            <w14:solidFill>
              <w14:schemeClr w14:val="tx1"/>
            </w14:solidFill>
          </w14:textFill>
        </w:rPr>
        <w:t>，说明相关申报事项。</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（2）组织申报。</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申报组织根据自愿原则，对照评审标准如实填写申报材料，在规定时间内报送所在地镇（街道）市场</w:t>
      </w:r>
      <w:r>
        <w:rPr>
          <w:rFonts w:hint="eastAsia" w:ascii="仿宋_GB2312" w:eastAsia="仿宋_GB2312"/>
          <w:color w:val="000000" w:themeColor="text1"/>
          <w:sz w:val="32"/>
          <w:szCs w:val="32"/>
          <w:highlight w:val="none"/>
          <w:lang w:val="en-US" w:eastAsia="zh-CN"/>
          <w14:textFill>
            <w14:solidFill>
              <w14:schemeClr w14:val="tx1"/>
            </w14:solidFill>
          </w14:textFill>
        </w:rPr>
        <w:t>监督管理</w:t>
      </w:r>
      <w:r>
        <w:rPr>
          <w:rFonts w:hint="eastAsia" w:ascii="仿宋_GB2312" w:eastAsia="仿宋_GB2312"/>
          <w:color w:val="000000" w:themeColor="text1"/>
          <w:sz w:val="32"/>
          <w:szCs w:val="32"/>
          <w:highlight w:val="none"/>
          <w14:textFill>
            <w14:solidFill>
              <w14:schemeClr w14:val="tx1"/>
            </w14:solidFill>
          </w14:textFill>
        </w:rPr>
        <w:t>所。</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（3）初选推荐。</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各镇（街道）市场</w:t>
      </w:r>
      <w:r>
        <w:rPr>
          <w:rFonts w:hint="eastAsia" w:ascii="仿宋_GB2312" w:eastAsia="仿宋_GB2312"/>
          <w:color w:val="000000" w:themeColor="text1"/>
          <w:sz w:val="32"/>
          <w:szCs w:val="32"/>
          <w:highlight w:val="none"/>
          <w:lang w:val="en-US" w:eastAsia="zh-CN"/>
          <w14:textFill>
            <w14:solidFill>
              <w14:schemeClr w14:val="tx1"/>
            </w14:solidFill>
          </w14:textFill>
        </w:rPr>
        <w:t>监督管理</w:t>
      </w:r>
      <w:r>
        <w:rPr>
          <w:rFonts w:hint="eastAsia" w:ascii="仿宋_GB2312" w:eastAsia="仿宋_GB2312"/>
          <w:color w:val="000000" w:themeColor="text1"/>
          <w:sz w:val="32"/>
          <w:szCs w:val="32"/>
          <w:highlight w:val="none"/>
          <w14:textFill>
            <w14:solidFill>
              <w14:schemeClr w14:val="tx1"/>
            </w14:solidFill>
          </w14:textFill>
        </w:rPr>
        <w:t>所在收到申报材料后</w:t>
      </w:r>
      <w:r>
        <w:rPr>
          <w:rFonts w:hint="eastAsia" w:ascii="仿宋_GB2312" w:eastAsia="仿宋_GB2312"/>
          <w:color w:val="000000" w:themeColor="text1"/>
          <w:sz w:val="32"/>
          <w:szCs w:val="32"/>
          <w:highlight w:val="none"/>
          <w:lang w:eastAsia="zh-CN"/>
          <w14:textFill>
            <w14:solidFill>
              <w14:schemeClr w14:val="tx1"/>
            </w14:solidFill>
          </w14:textFill>
        </w:rPr>
        <w:t>，</w:t>
      </w:r>
      <w:r>
        <w:rPr>
          <w:rFonts w:hint="eastAsia" w:ascii="仿宋_GB2312" w:eastAsia="仿宋_GB2312"/>
          <w:color w:val="000000" w:themeColor="text1"/>
          <w:sz w:val="32"/>
          <w:szCs w:val="32"/>
          <w:highlight w:val="none"/>
          <w14:textFill>
            <w14:solidFill>
              <w14:schemeClr w14:val="tx1"/>
            </w14:solidFill>
          </w14:textFill>
        </w:rPr>
        <w:t>会同辖区有关部门、社团对组织的申报材料进行初审，</w:t>
      </w:r>
      <w:r>
        <w:rPr>
          <w:rFonts w:hint="eastAsia" w:ascii="仿宋_GB2312" w:hAnsi="仿宋_GB2312" w:eastAsia="仿宋_GB2312" w:cs="宋体"/>
          <w:color w:val="000000" w:themeColor="text1"/>
          <w:kern w:val="0"/>
          <w:sz w:val="32"/>
          <w:szCs w:val="21"/>
          <w:highlight w:val="none"/>
          <w:lang w:val="en-US" w:eastAsia="zh-CN"/>
          <w14:textFill>
            <w14:solidFill>
              <w14:schemeClr w14:val="tx1"/>
            </w14:solidFill>
          </w14:textFill>
        </w:rPr>
        <w:t>对符合申报条件的，提请镇</w:t>
      </w:r>
      <w:r>
        <w:rPr>
          <w:rFonts w:hint="eastAsia" w:ascii="仿宋_GB2312" w:hAnsi="仿宋_GB2312" w:cs="宋体"/>
          <w:color w:val="000000" w:themeColor="text1"/>
          <w:kern w:val="0"/>
          <w:sz w:val="32"/>
          <w:szCs w:val="21"/>
          <w:highlight w:val="none"/>
          <w:lang w:val="en-US" w:eastAsia="zh-CN"/>
          <w14:textFill>
            <w14:solidFill>
              <w14:schemeClr w14:val="tx1"/>
            </w14:solidFill>
          </w14:textFill>
        </w:rPr>
        <w:t>人民政府</w:t>
      </w:r>
      <w:r>
        <w:rPr>
          <w:rFonts w:hint="eastAsia" w:ascii="仿宋_GB2312" w:hAnsi="仿宋_GB2312" w:eastAsia="仿宋_GB2312" w:cs="宋体"/>
          <w:color w:val="000000" w:themeColor="text1"/>
          <w:kern w:val="0"/>
          <w:sz w:val="32"/>
          <w:szCs w:val="21"/>
          <w:highlight w:val="none"/>
          <w:lang w:val="en-US" w:eastAsia="zh-CN"/>
          <w14:textFill>
            <w14:solidFill>
              <w14:schemeClr w14:val="tx1"/>
            </w14:solidFill>
          </w14:textFill>
        </w:rPr>
        <w:t>（街道</w:t>
      </w:r>
      <w:r>
        <w:rPr>
          <w:rFonts w:hint="eastAsia" w:ascii="仿宋_GB2312" w:hAnsi="仿宋_GB2312" w:cs="宋体"/>
          <w:color w:val="000000" w:themeColor="text1"/>
          <w:kern w:val="0"/>
          <w:sz w:val="32"/>
          <w:szCs w:val="21"/>
          <w:highlight w:val="none"/>
          <w:lang w:val="en-US" w:eastAsia="zh-CN"/>
          <w14:textFill>
            <w14:solidFill>
              <w14:schemeClr w14:val="tx1"/>
            </w14:solidFill>
          </w14:textFill>
        </w:rPr>
        <w:t>办事处</w:t>
      </w:r>
      <w:r>
        <w:rPr>
          <w:rFonts w:hint="eastAsia" w:ascii="仿宋_GB2312" w:hAnsi="仿宋_GB2312" w:eastAsia="仿宋_GB2312" w:cs="宋体"/>
          <w:color w:val="000000" w:themeColor="text1"/>
          <w:kern w:val="0"/>
          <w:sz w:val="32"/>
          <w:szCs w:val="21"/>
          <w:highlight w:val="none"/>
          <w:lang w:val="en-US" w:eastAsia="zh-CN"/>
          <w14:textFill>
            <w14:solidFill>
              <w14:schemeClr w14:val="tx1"/>
            </w14:solidFill>
          </w14:textFill>
        </w:rPr>
        <w:t>）出具推荐意见并报秘书处；不符合申报条件的，向申报组织作出书面通知</w:t>
      </w:r>
      <w:r>
        <w:rPr>
          <w:rFonts w:hint="eastAsia" w:ascii="仿宋_GB2312" w:eastAsia="仿宋_GB2312"/>
          <w:color w:val="000000" w:themeColor="text1"/>
          <w:sz w:val="32"/>
          <w:szCs w:val="32"/>
          <w:highlight w:val="none"/>
          <w14:textFill>
            <w14:solidFill>
              <w14:schemeClr w14:val="tx1"/>
            </w14:solidFill>
          </w14:textFill>
        </w:rPr>
        <w:t>。</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（4）资格审</w:t>
      </w:r>
      <w:r>
        <w:rPr>
          <w:rFonts w:hint="eastAsia" w:ascii="仿宋_GB2312"/>
          <w:color w:val="000000" w:themeColor="text1"/>
          <w:sz w:val="32"/>
          <w:szCs w:val="32"/>
          <w:highlight w:val="none"/>
          <w:lang w:val="en-US" w:eastAsia="zh-CN"/>
          <w14:textFill>
            <w14:solidFill>
              <w14:schemeClr w14:val="tx1"/>
            </w14:solidFill>
          </w14:textFill>
        </w:rPr>
        <w:t>核</w:t>
      </w:r>
      <w:r>
        <w:rPr>
          <w:rFonts w:hint="eastAsia" w:ascii="仿宋_GB2312" w:eastAsia="仿宋_GB2312"/>
          <w:color w:val="000000" w:themeColor="text1"/>
          <w:sz w:val="32"/>
          <w:szCs w:val="32"/>
          <w:highlight w:val="none"/>
          <w14:textFill>
            <w14:solidFill>
              <w14:schemeClr w14:val="tx1"/>
            </w14:solidFill>
          </w14:textFill>
        </w:rPr>
        <w:t>。</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秘书处对申报组织的材料进行审核，对申报材料不完备的，应及时通知其在规定时限内补充完善。对申报材料完备的组织，统一发函征求区相关部门意见。资格审</w:t>
      </w:r>
      <w:r>
        <w:rPr>
          <w:rFonts w:hint="eastAsia" w:ascii="仿宋_GB2312"/>
          <w:color w:val="000000" w:themeColor="text1"/>
          <w:sz w:val="32"/>
          <w:szCs w:val="32"/>
          <w:highlight w:val="none"/>
          <w:lang w:val="en-US" w:eastAsia="zh-CN"/>
          <w14:textFill>
            <w14:solidFill>
              <w14:schemeClr w14:val="tx1"/>
            </w14:solidFill>
          </w14:textFill>
        </w:rPr>
        <w:t>核</w:t>
      </w:r>
      <w:r>
        <w:rPr>
          <w:rFonts w:hint="eastAsia" w:ascii="仿宋_GB2312" w:eastAsia="仿宋_GB2312"/>
          <w:color w:val="000000" w:themeColor="text1"/>
          <w:sz w:val="32"/>
          <w:szCs w:val="32"/>
          <w:highlight w:val="none"/>
          <w14:textFill>
            <w14:solidFill>
              <w14:schemeClr w14:val="tx1"/>
            </w14:solidFill>
          </w14:textFill>
        </w:rPr>
        <w:t>通过的，提请评审专家组评审</w:t>
      </w:r>
      <w:r>
        <w:rPr>
          <w:rFonts w:hint="eastAsia" w:ascii="仿宋_GB2312"/>
          <w:color w:val="000000" w:themeColor="text1"/>
          <w:sz w:val="32"/>
          <w:szCs w:val="32"/>
          <w:highlight w:val="none"/>
          <w:lang w:eastAsia="zh-CN"/>
          <w14:textFill>
            <w14:solidFill>
              <w14:schemeClr w14:val="tx1"/>
            </w14:solidFill>
          </w14:textFill>
        </w:rPr>
        <w:t>；</w:t>
      </w:r>
      <w:r>
        <w:rPr>
          <w:rFonts w:hint="eastAsia" w:ascii="仿宋_GB2312" w:eastAsia="仿宋_GB2312"/>
          <w:color w:val="000000" w:themeColor="text1"/>
          <w:sz w:val="32"/>
          <w:szCs w:val="32"/>
          <w:highlight w:val="none"/>
          <w14:textFill>
            <w14:solidFill>
              <w14:schemeClr w14:val="tx1"/>
            </w14:solidFill>
          </w14:textFill>
        </w:rPr>
        <w:t>审查未通过的，向申报企业作出不予受理的通知。</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资格审查主要从主体资格</w:t>
      </w:r>
      <w:r>
        <w:rPr>
          <w:rFonts w:hint="eastAsia" w:ascii="仿宋_GB2312"/>
          <w:color w:val="000000" w:themeColor="text1"/>
          <w:sz w:val="32"/>
          <w:szCs w:val="32"/>
          <w:highlight w:val="none"/>
          <w:lang w:eastAsia="zh-CN"/>
          <w14:textFill>
            <w14:solidFill>
              <w14:schemeClr w14:val="tx1"/>
            </w14:solidFill>
          </w14:textFill>
        </w:rPr>
        <w:t>、</w:t>
      </w:r>
      <w:r>
        <w:rPr>
          <w:rFonts w:hint="eastAsia" w:ascii="仿宋_GB2312" w:eastAsia="仿宋_GB2312"/>
          <w:color w:val="000000" w:themeColor="text1"/>
          <w:sz w:val="32"/>
          <w:szCs w:val="32"/>
          <w:highlight w:val="none"/>
          <w14:textFill>
            <w14:solidFill>
              <w14:schemeClr w14:val="tx1"/>
            </w14:solidFill>
          </w14:textFill>
        </w:rPr>
        <w:t>申报渠道及程序</w:t>
      </w:r>
      <w:r>
        <w:rPr>
          <w:rFonts w:hint="eastAsia" w:ascii="仿宋_GB2312"/>
          <w:color w:val="000000" w:themeColor="text1"/>
          <w:sz w:val="32"/>
          <w:szCs w:val="32"/>
          <w:highlight w:val="none"/>
          <w:lang w:eastAsia="zh-CN"/>
          <w14:textFill>
            <w14:solidFill>
              <w14:schemeClr w14:val="tx1"/>
            </w14:solidFill>
          </w14:textFill>
        </w:rPr>
        <w:t>、</w:t>
      </w:r>
      <w:r>
        <w:rPr>
          <w:rFonts w:hint="eastAsia" w:ascii="仿宋_GB2312" w:eastAsia="仿宋_GB2312"/>
          <w:color w:val="000000" w:themeColor="text1"/>
          <w:sz w:val="32"/>
          <w:szCs w:val="32"/>
          <w:highlight w:val="none"/>
          <w14:textFill>
            <w14:solidFill>
              <w14:schemeClr w14:val="tx1"/>
            </w14:solidFill>
          </w14:textFill>
        </w:rPr>
        <w:t>申报材料齐整性和规范性</w:t>
      </w:r>
      <w:r>
        <w:rPr>
          <w:rFonts w:hint="eastAsia" w:ascii="仿宋_GB2312"/>
          <w:color w:val="000000" w:themeColor="text1"/>
          <w:sz w:val="32"/>
          <w:szCs w:val="32"/>
          <w:highlight w:val="none"/>
          <w:lang w:val="en-US" w:eastAsia="zh-CN"/>
          <w14:textFill>
            <w14:solidFill>
              <w14:schemeClr w14:val="tx1"/>
            </w14:solidFill>
          </w14:textFill>
        </w:rPr>
        <w:t>等方面</w:t>
      </w:r>
      <w:r>
        <w:rPr>
          <w:rFonts w:hint="eastAsia" w:ascii="仿宋_GB2312" w:eastAsia="仿宋_GB2312"/>
          <w:color w:val="000000" w:themeColor="text1"/>
          <w:sz w:val="32"/>
          <w:szCs w:val="32"/>
          <w:highlight w:val="none"/>
          <w14:textFill>
            <w14:solidFill>
              <w14:schemeClr w14:val="tx1"/>
            </w14:solidFill>
          </w14:textFill>
        </w:rPr>
        <w:t>进行</w:t>
      </w:r>
      <w:r>
        <w:rPr>
          <w:rFonts w:hint="eastAsia" w:ascii="仿宋_GB2312"/>
          <w:color w:val="000000" w:themeColor="text1"/>
          <w:sz w:val="32"/>
          <w:szCs w:val="32"/>
          <w:highlight w:val="none"/>
          <w:lang w:eastAsia="zh-CN"/>
          <w14:textFill>
            <w14:solidFill>
              <w14:schemeClr w14:val="tx1"/>
            </w14:solidFill>
          </w14:textFill>
        </w:rPr>
        <w:t>。</w:t>
      </w:r>
    </w:p>
    <w:p>
      <w:pPr>
        <w:widowControl w:val="0"/>
        <w:spacing w:line="560" w:lineRule="exact"/>
        <w:ind w:firstLine="643" w:firstLineChars="200"/>
        <w:rPr>
          <w:rFonts w:hint="eastAsia" w:ascii="仿宋_GB2312" w:eastAsia="仿宋_GB2312"/>
          <w:b/>
          <w:bCs/>
          <w:color w:val="000000" w:themeColor="text1"/>
          <w:sz w:val="32"/>
          <w:szCs w:val="32"/>
          <w:highlight w:val="none"/>
          <w:lang w:eastAsia="zh-CN"/>
          <w14:textFill>
            <w14:solidFill>
              <w14:schemeClr w14:val="tx1"/>
            </w14:solidFill>
          </w14:textFill>
        </w:rPr>
      </w:pPr>
      <w:r>
        <w:rPr>
          <w:rFonts w:hint="eastAsia" w:ascii="仿宋_GB2312" w:eastAsia="仿宋_GB2312"/>
          <w:b/>
          <w:bCs/>
          <w:color w:val="000000" w:themeColor="text1"/>
          <w:sz w:val="32"/>
          <w:szCs w:val="32"/>
          <w:highlight w:val="none"/>
          <w:lang w:eastAsia="zh-CN"/>
          <w14:textFill>
            <w14:solidFill>
              <w14:schemeClr w14:val="tx1"/>
            </w14:solidFill>
          </w14:textFill>
        </w:rPr>
        <w:t>（二）专家评审</w:t>
      </w:r>
    </w:p>
    <w:p>
      <w:pPr>
        <w:spacing w:line="560" w:lineRule="exact"/>
        <w:ind w:firstLine="643"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楷体_GB2312" w:eastAsia="楷体_GB2312"/>
          <w:b/>
          <w:bCs/>
          <w:color w:val="000000" w:themeColor="text1"/>
          <w:szCs w:val="32"/>
          <w:highlight w:val="none"/>
          <w14:textFill>
            <w14:solidFill>
              <w14:schemeClr w14:val="tx1"/>
            </w14:solidFill>
          </w14:textFill>
        </w:rPr>
        <w:t>政府质量奖</w:t>
      </w:r>
      <w:r>
        <w:rPr>
          <w:rFonts w:hint="eastAsia" w:ascii="楷体_GB2312" w:eastAsia="楷体_GB2312"/>
          <w:b/>
          <w:bCs/>
          <w:color w:val="000000" w:themeColor="text1"/>
          <w:szCs w:val="32"/>
          <w:highlight w:val="non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Cs w:val="32"/>
          <w:highlight w:val="none"/>
          <w14:textFill>
            <w14:solidFill>
              <w14:schemeClr w14:val="tx1"/>
            </w14:solidFill>
          </w14:textFill>
        </w:rPr>
        <w:t>政府质量奖评审分为材料评审和现场评审，</w:t>
      </w:r>
      <w:r>
        <w:rPr>
          <w:rFonts w:hint="eastAsia" w:ascii="仿宋_GB2312" w:hAnsi="仿宋_GB2312" w:cs="仿宋_GB2312"/>
          <w:color w:val="000000" w:themeColor="text1"/>
          <w:szCs w:val="32"/>
          <w:highlight w:val="none"/>
          <w:lang w:val="en-US" w:eastAsia="zh-CN"/>
          <w14:textFill>
            <w14:solidFill>
              <w14:schemeClr w14:val="tx1"/>
            </w14:solidFill>
          </w14:textFill>
        </w:rPr>
        <w:t>两次</w:t>
      </w:r>
      <w:r>
        <w:rPr>
          <w:rFonts w:hint="eastAsia" w:ascii="仿宋_GB2312" w:hAnsi="仿宋_GB2312" w:eastAsia="仿宋_GB2312" w:cs="仿宋_GB2312"/>
          <w:color w:val="000000" w:themeColor="text1"/>
          <w:szCs w:val="32"/>
          <w:highlight w:val="none"/>
          <w14:textFill>
            <w14:solidFill>
              <w14:schemeClr w14:val="tx1"/>
            </w14:solidFill>
          </w14:textFill>
        </w:rPr>
        <w:t>评审</w:t>
      </w:r>
      <w:r>
        <w:rPr>
          <w:rFonts w:hint="eastAsia" w:ascii="仿宋_GB2312" w:hAnsi="仿宋_GB2312" w:cs="仿宋_GB2312"/>
          <w:color w:val="000000" w:themeColor="text1"/>
          <w:szCs w:val="32"/>
          <w:highlight w:val="none"/>
          <w:lang w:val="en-US" w:eastAsia="zh-CN"/>
          <w14:textFill>
            <w14:solidFill>
              <w14:schemeClr w14:val="tx1"/>
            </w14:solidFill>
          </w14:textFill>
        </w:rPr>
        <w:t>的</w:t>
      </w:r>
      <w:r>
        <w:rPr>
          <w:rFonts w:hint="eastAsia" w:ascii="仿宋_GB2312" w:hAnsi="仿宋_GB2312" w:eastAsia="仿宋_GB2312" w:cs="仿宋_GB2312"/>
          <w:color w:val="000000" w:themeColor="text1"/>
          <w:szCs w:val="32"/>
          <w:highlight w:val="none"/>
          <w14:textFill>
            <w14:solidFill>
              <w14:schemeClr w14:val="tx1"/>
            </w14:solidFill>
          </w14:textFill>
        </w:rPr>
        <w:t>总分</w:t>
      </w:r>
      <w:r>
        <w:rPr>
          <w:rFonts w:hint="eastAsia" w:ascii="仿宋_GB2312" w:hAnsi="仿宋_GB2312" w:cs="仿宋_GB2312"/>
          <w:color w:val="000000" w:themeColor="text1"/>
          <w:szCs w:val="32"/>
          <w:highlight w:val="none"/>
          <w:lang w:val="en-US" w:eastAsia="zh-CN"/>
          <w14:textFill>
            <w14:solidFill>
              <w14:schemeClr w14:val="tx1"/>
            </w14:solidFill>
          </w14:textFill>
        </w:rPr>
        <w:t>各</w:t>
      </w:r>
      <w:r>
        <w:rPr>
          <w:rFonts w:hint="eastAsia" w:ascii="仿宋_GB2312" w:hAnsi="仿宋_GB2312" w:eastAsia="仿宋_GB2312" w:cs="仿宋_GB2312"/>
          <w:color w:val="000000" w:themeColor="text1"/>
          <w:szCs w:val="32"/>
          <w:highlight w:val="none"/>
          <w14:textFill>
            <w14:solidFill>
              <w14:schemeClr w14:val="tx1"/>
            </w14:solidFill>
          </w14:textFill>
        </w:rPr>
        <w:t>1000分。</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1.材料评审</w:t>
      </w:r>
    </w:p>
    <w:p>
      <w:pPr>
        <w:spacing w:line="560" w:lineRule="exact"/>
        <w:ind w:firstLine="63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（1）评审要求。材料评审采取分组评审的方式，每个评审组由3名以上专家组成，实行组长负责制。按照独立评审和合议评审两个阶段开展材料评审，每</w:t>
      </w:r>
      <w:r>
        <w:rPr>
          <w:rFonts w:hint="eastAsia" w:ascii="仿宋_GB2312" w:hAnsi="仿宋_GB2312" w:cs="仿宋_GB2312"/>
          <w:color w:val="000000" w:themeColor="text1"/>
          <w:szCs w:val="32"/>
          <w:highlight w:val="none"/>
          <w:lang w:val="en-US" w:eastAsia="zh-CN"/>
          <w14:textFill>
            <w14:solidFill>
              <w14:schemeClr w14:val="tx1"/>
            </w14:solidFill>
          </w14:textFill>
        </w:rPr>
        <w:t>个组织</w:t>
      </w:r>
      <w:r>
        <w:rPr>
          <w:rFonts w:hint="eastAsia" w:ascii="仿宋_GB2312" w:hAnsi="仿宋_GB2312" w:eastAsia="仿宋_GB2312" w:cs="仿宋_GB2312"/>
          <w:color w:val="000000" w:themeColor="text1"/>
          <w:szCs w:val="32"/>
          <w:highlight w:val="none"/>
          <w14:textFill>
            <w14:solidFill>
              <w14:schemeClr w14:val="tx1"/>
            </w14:solidFill>
          </w14:textFill>
        </w:rPr>
        <w:t>的评审时间一般为1-2天。实际评审中如需要增减评审时间，需经秘书处批准。</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（2）分组评审。各评审组专家组对照评审标准和其他评审具体要求，对组织申报材料进行评审打分，填写评审记录等相关表格，编制材料评审报告并签字确认。</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（3）汇总排名。秘书处根据各评审组的评审记录和报告，汇总组织得分，依据得分高低进行排名。</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（4）确定现场评审名单。秘书处根据组织材料评审得分情况，选取排名</w:t>
      </w:r>
      <w:r>
        <w:rPr>
          <w:rFonts w:hint="eastAsia" w:ascii="仿宋_GB2312" w:hAnsi="仿宋_GB2312" w:cs="仿宋_GB2312"/>
          <w:color w:val="000000" w:themeColor="text1"/>
          <w:szCs w:val="32"/>
          <w:highlight w:val="none"/>
          <w:lang w:val="en-US" w:eastAsia="zh-CN"/>
          <w14:textFill>
            <w14:solidFill>
              <w14:schemeClr w14:val="tx1"/>
            </w14:solidFill>
          </w14:textFill>
        </w:rPr>
        <w:t>前5名</w:t>
      </w:r>
      <w:r>
        <w:rPr>
          <w:rFonts w:hint="eastAsia" w:ascii="仿宋_GB2312" w:hAnsi="仿宋_GB2312" w:eastAsia="仿宋_GB2312" w:cs="仿宋_GB2312"/>
          <w:color w:val="000000" w:themeColor="text1"/>
          <w:szCs w:val="32"/>
          <w:highlight w:val="none"/>
          <w14:textFill>
            <w14:solidFill>
              <w14:schemeClr w14:val="tx1"/>
            </w14:solidFill>
          </w14:textFill>
        </w:rPr>
        <w:t>的组织</w:t>
      </w:r>
      <w:r>
        <w:rPr>
          <w:rFonts w:hint="eastAsia" w:ascii="仿宋_GB2312" w:hAnsi="仿宋_GB2312" w:cs="仿宋_GB2312"/>
          <w:color w:val="000000" w:themeColor="text1"/>
          <w:szCs w:val="32"/>
          <w:highlight w:val="none"/>
          <w:lang w:eastAsia="zh-CN"/>
          <w14:textFill>
            <w14:solidFill>
              <w14:schemeClr w14:val="tx1"/>
            </w14:solidFill>
          </w14:textFill>
        </w:rPr>
        <w:t>（</w:t>
      </w:r>
      <w:r>
        <w:rPr>
          <w:rFonts w:hint="eastAsia" w:ascii="仿宋_GB2312" w:hAnsi="仿宋_GB2312" w:cs="仿宋_GB2312"/>
          <w:color w:val="000000" w:themeColor="text1"/>
          <w:szCs w:val="32"/>
          <w:highlight w:val="none"/>
          <w:lang w:val="en-US" w:eastAsia="zh-CN"/>
          <w14:textFill>
            <w14:solidFill>
              <w14:schemeClr w14:val="tx1"/>
            </w14:solidFill>
          </w14:textFill>
        </w:rPr>
        <w:t>原则上</w:t>
      </w:r>
      <w:r>
        <w:rPr>
          <w:rFonts w:hint="eastAsia" w:ascii="仿宋_GB2312" w:hAnsi="仿宋_GB2312" w:cs="仿宋_GB2312"/>
          <w:color w:val="000000" w:themeColor="text1"/>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Cs w:val="32"/>
          <w:highlight w:val="none"/>
          <w14:textFill>
            <w14:solidFill>
              <w14:schemeClr w14:val="tx1"/>
            </w14:solidFill>
          </w14:textFill>
        </w:rPr>
        <w:t>确定现场评审名单。</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2.现场评审</w:t>
      </w:r>
    </w:p>
    <w:p>
      <w:pPr>
        <w:spacing w:line="560" w:lineRule="exact"/>
        <w:ind w:firstLine="63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1）评审要求。现场评审工作人员由评审专家、监督员、联络员组成。其中，监督员、联络员由秘书处指派人员担任。由专家组对候选组织进行现场评审，着重对材料评审的相关内容进行确认，发掘和提炼申报组织的先进质量管理经验。现场评审采取分组评审的方式，每个评审组由3名以上专家组成，实行组长负责制。按照独立评审和合议评审两个阶段开展现场评审，每</w:t>
      </w:r>
      <w:r>
        <w:rPr>
          <w:rFonts w:hint="eastAsia" w:ascii="仿宋_GB2312" w:hAnsi="仿宋_GB2312" w:cs="仿宋_GB2312"/>
          <w:color w:val="000000" w:themeColor="text1"/>
          <w:szCs w:val="32"/>
          <w:highlight w:val="none"/>
          <w:lang w:val="en-US" w:eastAsia="zh-CN"/>
          <w14:textFill>
            <w14:solidFill>
              <w14:schemeClr w14:val="tx1"/>
            </w14:solidFill>
          </w14:textFill>
        </w:rPr>
        <w:t>个组织</w:t>
      </w:r>
      <w:r>
        <w:rPr>
          <w:rFonts w:hint="eastAsia" w:ascii="仿宋_GB2312" w:hAnsi="仿宋_GB2312" w:eastAsia="仿宋_GB2312" w:cs="仿宋_GB2312"/>
          <w:color w:val="000000" w:themeColor="text1"/>
          <w:szCs w:val="32"/>
          <w:highlight w:val="none"/>
          <w14:textFill>
            <w14:solidFill>
              <w14:schemeClr w14:val="tx1"/>
            </w14:solidFill>
          </w14:textFill>
        </w:rPr>
        <w:t>的评审时间一般为3天。实际评审中如需要增减评审时间，需经秘书处批准。</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（2）制定评审计划。评审组长召集本组专家熟悉评审细则，制定评审计划，确定评审分工。</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（3）评审首次会议。秘书处指定人员主持召开评审首次会议。评审组长向被评审组织通报评审计划和要求，听取组织主要负责人汇报。</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（4）查阅相关资料。评审组依据评审计划和评审细则，查阅组织相关证明资料。</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（5）现场参观。评审组参观被评审组织设施、产品或场所，或评审组指定部分的内容。</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（6）形成评审结论。根据评审标准，评审组长组织本组专家召开内部会议，给出评审结论。</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（7）评审末次会议。秘书处指定人员主持召开评审末次会议。评审组长向被评审组织通报评审过程中发现的优势亮点以及问题，听取被</w:t>
      </w:r>
      <w:r>
        <w:rPr>
          <w:rFonts w:hint="eastAsia" w:ascii="仿宋_GB2312" w:hAnsi="仿宋_GB2312" w:cs="仿宋_GB2312"/>
          <w:color w:val="000000" w:themeColor="text1"/>
          <w:szCs w:val="32"/>
          <w:highlight w:val="none"/>
          <w:lang w:val="en-US" w:eastAsia="zh-CN"/>
          <w14:textFill>
            <w14:solidFill>
              <w14:schemeClr w14:val="tx1"/>
            </w14:solidFill>
          </w14:textFill>
        </w:rPr>
        <w:t>评审</w:t>
      </w:r>
      <w:r>
        <w:rPr>
          <w:rFonts w:hint="eastAsia" w:ascii="仿宋_GB2312" w:hAnsi="仿宋_GB2312" w:eastAsia="仿宋_GB2312" w:cs="仿宋_GB2312"/>
          <w:color w:val="000000" w:themeColor="text1"/>
          <w:szCs w:val="32"/>
          <w:highlight w:val="none"/>
          <w14:textFill>
            <w14:solidFill>
              <w14:schemeClr w14:val="tx1"/>
            </w14:solidFill>
          </w14:textFill>
        </w:rPr>
        <w:t>组织</w:t>
      </w:r>
      <w:r>
        <w:rPr>
          <w:rFonts w:hint="eastAsia" w:ascii="仿宋_GB2312" w:hAnsi="仿宋_GB2312" w:cs="仿宋_GB2312"/>
          <w:color w:val="000000" w:themeColor="text1"/>
          <w:szCs w:val="32"/>
          <w:highlight w:val="none"/>
          <w:lang w:val="en-US" w:eastAsia="zh-CN"/>
          <w14:textFill>
            <w14:solidFill>
              <w14:schemeClr w14:val="tx1"/>
            </w14:solidFill>
          </w14:textFill>
        </w:rPr>
        <w:t>的</w:t>
      </w:r>
      <w:r>
        <w:rPr>
          <w:rFonts w:hint="eastAsia" w:ascii="仿宋_GB2312" w:hAnsi="仿宋_GB2312" w:eastAsia="仿宋_GB2312" w:cs="仿宋_GB2312"/>
          <w:color w:val="000000" w:themeColor="text1"/>
          <w:szCs w:val="32"/>
          <w:highlight w:val="none"/>
          <w14:textFill>
            <w14:solidFill>
              <w14:schemeClr w14:val="tx1"/>
            </w14:solidFill>
          </w14:textFill>
        </w:rPr>
        <w:t>意见和建议，宣布评审结束。</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（8）提交评审报告。评审组长组织本组专家按要求编制被评审组织的现场评审报告，签字确认后整理并提交秘书处。</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3.</w:t>
      </w:r>
      <w:r>
        <w:rPr>
          <w:rFonts w:hint="eastAsia" w:ascii="仿宋_GB2312" w:hAnsi="仿宋_GB2312" w:cs="仿宋_GB2312"/>
          <w:color w:val="000000" w:themeColor="text1"/>
          <w:szCs w:val="32"/>
          <w:highlight w:val="none"/>
          <w:lang w:val="en-US" w:eastAsia="zh-CN"/>
          <w14:textFill>
            <w14:solidFill>
              <w14:schemeClr w14:val="tx1"/>
            </w14:solidFill>
          </w14:textFill>
        </w:rPr>
        <w:t>结果汇总</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秘书处综合</w:t>
      </w:r>
      <w:r>
        <w:rPr>
          <w:rFonts w:hint="eastAsia" w:ascii="仿宋_GB2312" w:hAnsi="仿宋_GB2312" w:cs="仿宋_GB2312"/>
          <w:color w:val="000000" w:themeColor="text1"/>
          <w:szCs w:val="32"/>
          <w:highlight w:val="none"/>
          <w:lang w:val="en-US" w:eastAsia="zh-CN"/>
          <w14:textFill>
            <w14:solidFill>
              <w14:schemeClr w14:val="tx1"/>
            </w14:solidFill>
          </w14:textFill>
        </w:rPr>
        <w:t>现场评审</w:t>
      </w:r>
      <w:r>
        <w:rPr>
          <w:rFonts w:hint="eastAsia" w:ascii="仿宋_GB2312" w:hAnsi="仿宋_GB2312" w:eastAsia="仿宋_GB2312" w:cs="仿宋_GB2312"/>
          <w:color w:val="000000" w:themeColor="text1"/>
          <w:szCs w:val="32"/>
          <w:highlight w:val="none"/>
          <w14:textFill>
            <w14:solidFill>
              <w14:schemeClr w14:val="tx1"/>
            </w14:solidFill>
          </w14:textFill>
        </w:rPr>
        <w:t>得分高低</w:t>
      </w:r>
      <w:r>
        <w:rPr>
          <w:rFonts w:hint="eastAsia" w:ascii="仿宋_GB2312" w:hAnsi="仿宋_GB2312" w:cs="仿宋_GB2312"/>
          <w:color w:val="000000" w:themeColor="text1"/>
          <w:szCs w:val="32"/>
          <w:highlight w:val="none"/>
          <w:lang w:val="en-US" w:eastAsia="zh-CN"/>
          <w14:textFill>
            <w14:solidFill>
              <w14:schemeClr w14:val="tx1"/>
            </w14:solidFill>
          </w14:textFill>
        </w:rPr>
        <w:t>拟定建议</w:t>
      </w:r>
      <w:r>
        <w:rPr>
          <w:rFonts w:hint="eastAsia" w:ascii="仿宋_GB2312" w:hAnsi="仿宋_GB2312" w:eastAsia="仿宋_GB2312" w:cs="仿宋_GB2312"/>
          <w:color w:val="000000" w:themeColor="text1"/>
          <w:szCs w:val="32"/>
          <w:highlight w:val="none"/>
          <w14:textFill>
            <w14:solidFill>
              <w14:schemeClr w14:val="tx1"/>
            </w14:solidFill>
          </w14:textFill>
        </w:rPr>
        <w:t>获奖名单，提交评审委员会审议，由评审委员会投票确定</w:t>
      </w:r>
      <w:r>
        <w:rPr>
          <w:rFonts w:hint="eastAsia" w:ascii="仿宋_GB2312" w:hAnsi="仿宋_GB2312" w:cs="仿宋_GB2312"/>
          <w:color w:val="000000" w:themeColor="text1"/>
          <w:szCs w:val="32"/>
          <w:highlight w:val="none"/>
          <w:lang w:val="en-US" w:eastAsia="zh-CN"/>
          <w14:textFill>
            <w14:solidFill>
              <w14:schemeClr w14:val="tx1"/>
            </w14:solidFill>
          </w14:textFill>
        </w:rPr>
        <w:t>拟授奖</w:t>
      </w:r>
      <w:r>
        <w:rPr>
          <w:rFonts w:hint="eastAsia" w:ascii="仿宋_GB2312" w:hAnsi="仿宋_GB2312" w:eastAsia="仿宋_GB2312" w:cs="仿宋_GB2312"/>
          <w:color w:val="000000" w:themeColor="text1"/>
          <w:szCs w:val="32"/>
          <w:highlight w:val="none"/>
          <w14:textFill>
            <w14:solidFill>
              <w14:schemeClr w14:val="tx1"/>
            </w14:solidFill>
          </w14:textFill>
        </w:rPr>
        <w:t>组织</w:t>
      </w:r>
      <w:r>
        <w:rPr>
          <w:rFonts w:hint="eastAsia" w:ascii="仿宋_GB2312" w:hAnsi="仿宋_GB2312" w:cs="仿宋_GB2312"/>
          <w:color w:val="000000" w:themeColor="text1"/>
          <w:szCs w:val="32"/>
          <w:highlight w:val="none"/>
          <w:lang w:val="en-US" w:eastAsia="zh-CN"/>
          <w14:textFill>
            <w14:solidFill>
              <w14:schemeClr w14:val="tx1"/>
            </w14:solidFill>
          </w14:textFill>
        </w:rPr>
        <w:t>名单</w:t>
      </w:r>
      <w:r>
        <w:rPr>
          <w:rFonts w:hint="eastAsia" w:ascii="仿宋_GB2312" w:hAnsi="仿宋_GB2312" w:eastAsia="仿宋_GB2312" w:cs="仿宋_GB2312"/>
          <w:color w:val="000000" w:themeColor="text1"/>
          <w:szCs w:val="32"/>
          <w:highlight w:val="none"/>
          <w14:textFill>
            <w14:solidFill>
              <w14:schemeClr w14:val="tx1"/>
            </w14:solidFill>
          </w14:textFill>
        </w:rPr>
        <w:t>。</w:t>
      </w:r>
    </w:p>
    <w:p>
      <w:pPr>
        <w:spacing w:line="560" w:lineRule="exact"/>
        <w:ind w:firstLine="643" w:firstLineChars="200"/>
        <w:rPr>
          <w:rFonts w:hint="eastAsia" w:ascii="仿宋_GB2312" w:hAnsi="仿宋_GB2312" w:eastAsia="仿宋_GB2312" w:cs="仿宋_GB2312"/>
          <w:b/>
          <w:bCs/>
          <w:color w:val="000000" w:themeColor="text1"/>
          <w:szCs w:val="32"/>
          <w:highlight w:val="none"/>
          <w14:textFill>
            <w14:solidFill>
              <w14:schemeClr w14:val="tx1"/>
            </w14:solidFill>
          </w14:textFill>
        </w:rPr>
      </w:pPr>
      <w:r>
        <w:rPr>
          <w:rFonts w:hint="eastAsia" w:ascii="仿宋_GB2312" w:hAnsi="仿宋_GB2312" w:eastAsia="仿宋_GB2312" w:cs="仿宋_GB2312"/>
          <w:b/>
          <w:bCs/>
          <w:color w:val="000000" w:themeColor="text1"/>
          <w:szCs w:val="32"/>
          <w:highlight w:val="none"/>
          <w14:textFill>
            <w14:solidFill>
              <w14:schemeClr w14:val="tx1"/>
            </w14:solidFill>
          </w14:textFill>
        </w:rPr>
        <w:t>一线班组奖</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一线班组奖评审分为材料评审和现场核查，</w:t>
      </w:r>
      <w:r>
        <w:rPr>
          <w:rFonts w:hint="eastAsia" w:ascii="仿宋_GB2312" w:hAnsi="仿宋_GB2312" w:cs="仿宋_GB2312"/>
          <w:color w:val="000000" w:themeColor="text1"/>
          <w:szCs w:val="32"/>
          <w:highlight w:val="none"/>
          <w:lang w:val="en-US" w:eastAsia="zh-CN"/>
          <w14:textFill>
            <w14:solidFill>
              <w14:schemeClr w14:val="tx1"/>
            </w14:solidFill>
          </w14:textFill>
        </w:rPr>
        <w:t>两次</w:t>
      </w:r>
      <w:r>
        <w:rPr>
          <w:rFonts w:hint="eastAsia" w:ascii="仿宋_GB2312" w:hAnsi="仿宋_GB2312" w:eastAsia="仿宋_GB2312" w:cs="仿宋_GB2312"/>
          <w:color w:val="000000" w:themeColor="text1"/>
          <w:szCs w:val="32"/>
          <w:highlight w:val="none"/>
          <w14:textFill>
            <w14:solidFill>
              <w14:schemeClr w14:val="tx1"/>
            </w14:solidFill>
          </w14:textFill>
        </w:rPr>
        <w:t>评审</w:t>
      </w:r>
      <w:r>
        <w:rPr>
          <w:rFonts w:hint="eastAsia" w:ascii="仿宋_GB2312" w:hAnsi="仿宋_GB2312" w:cs="仿宋_GB2312"/>
          <w:color w:val="000000" w:themeColor="text1"/>
          <w:szCs w:val="32"/>
          <w:highlight w:val="none"/>
          <w:lang w:val="en-US" w:eastAsia="zh-CN"/>
          <w14:textFill>
            <w14:solidFill>
              <w14:schemeClr w14:val="tx1"/>
            </w14:solidFill>
          </w14:textFill>
        </w:rPr>
        <w:t>的</w:t>
      </w:r>
      <w:r>
        <w:rPr>
          <w:rFonts w:hint="eastAsia" w:ascii="仿宋_GB2312" w:hAnsi="仿宋_GB2312" w:eastAsia="仿宋_GB2312" w:cs="仿宋_GB2312"/>
          <w:color w:val="000000" w:themeColor="text1"/>
          <w:szCs w:val="32"/>
          <w:highlight w:val="none"/>
          <w14:textFill>
            <w14:solidFill>
              <w14:schemeClr w14:val="tx1"/>
            </w14:solidFill>
          </w14:textFill>
        </w:rPr>
        <w:t>总分</w:t>
      </w:r>
      <w:r>
        <w:rPr>
          <w:rFonts w:hint="eastAsia" w:ascii="仿宋_GB2312" w:hAnsi="仿宋_GB2312" w:cs="仿宋_GB2312"/>
          <w:color w:val="000000" w:themeColor="text1"/>
          <w:szCs w:val="32"/>
          <w:highlight w:val="none"/>
          <w:lang w:val="en-US" w:eastAsia="zh-CN"/>
          <w14:textFill>
            <w14:solidFill>
              <w14:schemeClr w14:val="tx1"/>
            </w14:solidFill>
          </w14:textFill>
        </w:rPr>
        <w:t>各10</w:t>
      </w:r>
      <w:r>
        <w:rPr>
          <w:rFonts w:hint="eastAsia" w:ascii="仿宋_GB2312" w:hAnsi="仿宋_GB2312" w:eastAsia="仿宋_GB2312" w:cs="仿宋_GB2312"/>
          <w:color w:val="000000" w:themeColor="text1"/>
          <w:szCs w:val="32"/>
          <w:highlight w:val="none"/>
          <w14:textFill>
            <w14:solidFill>
              <w14:schemeClr w14:val="tx1"/>
            </w14:solidFill>
          </w14:textFill>
        </w:rPr>
        <w:t>00分。</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1.材料评审</w:t>
      </w:r>
    </w:p>
    <w:p>
      <w:pPr>
        <w:spacing w:line="560" w:lineRule="exact"/>
        <w:ind w:firstLine="63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（1）评审要求。材料评审采取分组评审的方式，每个评审组由3名以上专家组成，实行组长负责制。</w:t>
      </w:r>
      <w:r>
        <w:rPr>
          <w:rFonts w:hint="eastAsia" w:ascii="仿宋_GB2312" w:hAnsi="仿宋_GB2312" w:eastAsia="仿宋_GB2312" w:cs="宋体"/>
          <w:color w:val="000000" w:themeColor="text1"/>
          <w:sz w:val="32"/>
          <w:szCs w:val="21"/>
          <w:highlight w:val="none"/>
          <w14:textFill>
            <w14:solidFill>
              <w14:schemeClr w14:val="tx1"/>
            </w14:solidFill>
          </w14:textFill>
        </w:rPr>
        <w:t>按照独立评审和合议评审两个阶段开展材料评审，实际评审中如需要增减评审时间，需经秘书处批准。</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（2）分组评审。各评审组依据评审细则，对一线班组申报材料进行评审打分，填写评审记录等相关表格，编制材料评审报告并签字确认。</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（3）汇总排名。秘书处根据各评审组的评审记录和报告，汇总一线班组得分，依据得分高低进行排名。</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（4）确定现场核查名单。秘书处根据一线班组奖材料评审得分情况和申报总体数量，选取排名</w:t>
      </w:r>
      <w:r>
        <w:rPr>
          <w:rFonts w:hint="eastAsia" w:ascii="仿宋_GB2312" w:hAnsi="仿宋_GB2312" w:cs="仿宋_GB2312"/>
          <w:color w:val="000000" w:themeColor="text1"/>
          <w:szCs w:val="32"/>
          <w:highlight w:val="none"/>
          <w:lang w:val="en-US" w:eastAsia="zh-CN"/>
          <w14:textFill>
            <w14:solidFill>
              <w14:schemeClr w14:val="tx1"/>
            </w14:solidFill>
          </w14:textFill>
        </w:rPr>
        <w:t>前15名（原则上）</w:t>
      </w:r>
      <w:r>
        <w:rPr>
          <w:rFonts w:hint="eastAsia" w:ascii="仿宋_GB2312" w:hAnsi="仿宋_GB2312" w:eastAsia="仿宋_GB2312" w:cs="仿宋_GB2312"/>
          <w:color w:val="000000" w:themeColor="text1"/>
          <w:szCs w:val="32"/>
          <w:highlight w:val="none"/>
          <w14:textFill>
            <w14:solidFill>
              <w14:schemeClr w14:val="tx1"/>
            </w14:solidFill>
          </w14:textFill>
        </w:rPr>
        <w:t>的一线班组确定现场核查名单。</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2.现场核查</w:t>
      </w:r>
    </w:p>
    <w:p>
      <w:pPr>
        <w:spacing w:line="560" w:lineRule="exact"/>
        <w:ind w:firstLine="63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（1）评审要求。现场核查工作人员由评审专家、监督员、联络员组成。其中，监督员、联络员由秘书处指派人员担任。由专家组</w:t>
      </w:r>
      <w:r>
        <w:rPr>
          <w:rFonts w:hint="eastAsia" w:ascii="仿宋_GB2312" w:hAnsi="仿宋_GB2312" w:cs="仿宋_GB2312"/>
          <w:color w:val="000000" w:themeColor="text1"/>
          <w:szCs w:val="32"/>
          <w:highlight w:val="none"/>
          <w:lang w:val="en-US" w:eastAsia="zh-CN"/>
          <w14:textFill>
            <w14:solidFill>
              <w14:schemeClr w14:val="tx1"/>
            </w14:solidFill>
          </w14:textFill>
        </w:rPr>
        <w:t>进行</w:t>
      </w:r>
      <w:r>
        <w:rPr>
          <w:rFonts w:hint="eastAsia" w:ascii="仿宋_GB2312" w:hAnsi="仿宋_GB2312" w:eastAsia="仿宋_GB2312" w:cs="仿宋_GB2312"/>
          <w:color w:val="000000" w:themeColor="text1"/>
          <w:szCs w:val="32"/>
          <w:highlight w:val="none"/>
          <w14:textFill>
            <w14:solidFill>
              <w14:schemeClr w14:val="tx1"/>
            </w14:solidFill>
          </w14:textFill>
        </w:rPr>
        <w:t>现场核查，核实班组实际情况。现场</w:t>
      </w:r>
      <w:r>
        <w:rPr>
          <w:rFonts w:hint="eastAsia" w:ascii="仿宋_GB2312" w:hAnsi="仿宋_GB2312" w:cs="仿宋_GB2312"/>
          <w:color w:val="000000" w:themeColor="text1"/>
          <w:szCs w:val="32"/>
          <w:highlight w:val="none"/>
          <w:lang w:val="en-US" w:eastAsia="zh-CN"/>
          <w14:textFill>
            <w14:solidFill>
              <w14:schemeClr w14:val="tx1"/>
            </w14:solidFill>
          </w14:textFill>
        </w:rPr>
        <w:t>核查</w:t>
      </w:r>
      <w:r>
        <w:rPr>
          <w:rFonts w:hint="eastAsia" w:ascii="仿宋_GB2312" w:hAnsi="仿宋_GB2312" w:eastAsia="仿宋_GB2312" w:cs="仿宋_GB2312"/>
          <w:color w:val="000000" w:themeColor="text1"/>
          <w:szCs w:val="32"/>
          <w:highlight w:val="none"/>
          <w14:textFill>
            <w14:solidFill>
              <w14:schemeClr w14:val="tx1"/>
            </w14:solidFill>
          </w14:textFill>
        </w:rPr>
        <w:t>采取分组评审的方式，每个评审组由3名以上专家组成，实行组长负责制。</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（2）核查过程。评审组通过现场参观、面谈，以及查阅资料等方式，了解</w:t>
      </w:r>
      <w:r>
        <w:rPr>
          <w:rFonts w:hint="eastAsia" w:ascii="仿宋_GB2312" w:hAnsi="仿宋_GB2312" w:cs="仿宋_GB2312"/>
          <w:color w:val="000000" w:themeColor="text1"/>
          <w:szCs w:val="32"/>
          <w:highlight w:val="none"/>
          <w:lang w:val="en-US" w:eastAsia="zh-CN"/>
          <w14:textFill>
            <w14:solidFill>
              <w14:schemeClr w14:val="tx1"/>
            </w14:solidFill>
          </w14:textFill>
        </w:rPr>
        <w:t>组织</w:t>
      </w:r>
      <w:r>
        <w:rPr>
          <w:rFonts w:hint="eastAsia" w:ascii="仿宋_GB2312" w:hAnsi="仿宋_GB2312" w:eastAsia="仿宋_GB2312" w:cs="仿宋_GB2312"/>
          <w:color w:val="000000" w:themeColor="text1"/>
          <w:szCs w:val="32"/>
          <w:highlight w:val="none"/>
          <w14:textFill>
            <w14:solidFill>
              <w14:schemeClr w14:val="tx1"/>
            </w14:solidFill>
          </w14:textFill>
        </w:rPr>
        <w:t>一线班组建设情况，并根据评审标准，编制被评审班组的现场评审报告，签字确认后整理并提交秘书处。</w:t>
      </w:r>
    </w:p>
    <w:p>
      <w:pPr>
        <w:spacing w:line="560" w:lineRule="exact"/>
        <w:ind w:firstLine="640" w:firstLineChars="200"/>
        <w:rPr>
          <w:rFonts w:hint="default" w:ascii="仿宋_GB2312" w:hAnsi="仿宋_GB2312" w:eastAsia="仿宋_GB2312" w:cs="仿宋_GB2312"/>
          <w:color w:val="000000" w:themeColor="text1"/>
          <w:szCs w:val="32"/>
          <w:highlight w:val="none"/>
          <w:lang w:val="en-US" w:eastAsia="zh-CN"/>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3.</w:t>
      </w:r>
      <w:r>
        <w:rPr>
          <w:rFonts w:hint="eastAsia" w:ascii="仿宋_GB2312" w:hAnsi="仿宋_GB2312" w:cs="仿宋_GB2312"/>
          <w:color w:val="000000" w:themeColor="text1"/>
          <w:szCs w:val="32"/>
          <w:highlight w:val="none"/>
          <w:lang w:val="en-US" w:eastAsia="zh-CN"/>
          <w14:textFill>
            <w14:solidFill>
              <w14:schemeClr w14:val="tx1"/>
            </w14:solidFill>
          </w14:textFill>
        </w:rPr>
        <w:t>结果汇总</w:t>
      </w: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秘书处综合</w:t>
      </w:r>
      <w:r>
        <w:rPr>
          <w:rFonts w:hint="eastAsia" w:ascii="仿宋_GB2312" w:hAnsi="仿宋_GB2312" w:cs="仿宋_GB2312"/>
          <w:color w:val="000000" w:themeColor="text1"/>
          <w:szCs w:val="32"/>
          <w:highlight w:val="none"/>
          <w:lang w:val="en-US" w:eastAsia="zh-CN"/>
          <w14:textFill>
            <w14:solidFill>
              <w14:schemeClr w14:val="tx1"/>
            </w14:solidFill>
          </w14:textFill>
        </w:rPr>
        <w:t>现场核查</w:t>
      </w:r>
      <w:r>
        <w:rPr>
          <w:rFonts w:hint="eastAsia" w:ascii="仿宋_GB2312" w:hAnsi="仿宋_GB2312" w:eastAsia="仿宋_GB2312" w:cs="仿宋_GB2312"/>
          <w:color w:val="000000" w:themeColor="text1"/>
          <w:szCs w:val="32"/>
          <w:highlight w:val="none"/>
          <w14:textFill>
            <w14:solidFill>
              <w14:schemeClr w14:val="tx1"/>
            </w14:solidFill>
          </w14:textFill>
        </w:rPr>
        <w:t>得分高低</w:t>
      </w:r>
      <w:r>
        <w:rPr>
          <w:rFonts w:hint="eastAsia" w:ascii="仿宋_GB2312" w:hAnsi="仿宋_GB2312" w:cs="仿宋_GB2312"/>
          <w:color w:val="000000" w:themeColor="text1"/>
          <w:szCs w:val="32"/>
          <w:highlight w:val="none"/>
          <w:lang w:val="en-US" w:eastAsia="zh-CN"/>
          <w14:textFill>
            <w14:solidFill>
              <w14:schemeClr w14:val="tx1"/>
            </w14:solidFill>
          </w14:textFill>
        </w:rPr>
        <w:t>拟定建议</w:t>
      </w:r>
      <w:r>
        <w:rPr>
          <w:rFonts w:hint="eastAsia" w:ascii="仿宋_GB2312" w:hAnsi="仿宋_GB2312" w:eastAsia="仿宋_GB2312" w:cs="仿宋_GB2312"/>
          <w:color w:val="000000" w:themeColor="text1"/>
          <w:szCs w:val="32"/>
          <w:highlight w:val="none"/>
          <w14:textFill>
            <w14:solidFill>
              <w14:schemeClr w14:val="tx1"/>
            </w14:solidFill>
          </w14:textFill>
        </w:rPr>
        <w:t>获奖名单，提交评审委员会审议，由评审委员会投票确定</w:t>
      </w:r>
      <w:r>
        <w:rPr>
          <w:rFonts w:hint="eastAsia" w:ascii="仿宋_GB2312" w:hAnsi="仿宋_GB2312" w:cs="仿宋_GB2312"/>
          <w:color w:val="000000" w:themeColor="text1"/>
          <w:szCs w:val="32"/>
          <w:highlight w:val="none"/>
          <w:lang w:val="en-US" w:eastAsia="zh-CN"/>
          <w14:textFill>
            <w14:solidFill>
              <w14:schemeClr w14:val="tx1"/>
            </w14:solidFill>
          </w14:textFill>
        </w:rPr>
        <w:t>拟授奖一线班组名单</w:t>
      </w:r>
      <w:r>
        <w:rPr>
          <w:rFonts w:hint="eastAsia" w:ascii="仿宋_GB2312" w:hAnsi="仿宋_GB2312" w:eastAsia="仿宋_GB2312" w:cs="仿宋_GB2312"/>
          <w:color w:val="000000" w:themeColor="text1"/>
          <w:szCs w:val="32"/>
          <w:highlight w:val="none"/>
          <w14:textFill>
            <w14:solidFill>
              <w14:schemeClr w14:val="tx1"/>
            </w14:solidFill>
          </w14:textFill>
        </w:rPr>
        <w:t>。</w:t>
      </w:r>
    </w:p>
    <w:p>
      <w:pPr>
        <w:spacing w:line="560" w:lineRule="exact"/>
        <w:ind w:firstLine="643" w:firstLineChars="200"/>
        <w:rPr>
          <w:rFonts w:hint="eastAsia" w:ascii="仿宋_GB2312" w:hAnsi="仿宋_GB2312" w:eastAsia="仿宋_GB2312" w:cs="仿宋_GB2312"/>
          <w:b/>
          <w:bCs/>
          <w:color w:val="000000" w:themeColor="text1"/>
          <w:szCs w:val="32"/>
          <w:highlight w:val="none"/>
          <w14:textFill>
            <w14:solidFill>
              <w14:schemeClr w14:val="tx1"/>
            </w14:solidFill>
          </w14:textFill>
        </w:rPr>
      </w:pPr>
      <w:r>
        <w:rPr>
          <w:rFonts w:hint="eastAsia" w:ascii="仿宋_GB2312" w:hAnsi="仿宋_GB2312" w:cs="仿宋_GB2312"/>
          <w:b/>
          <w:bCs/>
          <w:color w:val="000000" w:themeColor="text1"/>
          <w:szCs w:val="32"/>
          <w:highlight w:val="none"/>
          <w:lang w:eastAsia="zh-CN"/>
          <w14:textFill>
            <w14:solidFill>
              <w14:schemeClr w14:val="tx1"/>
            </w14:solidFill>
          </w14:textFill>
        </w:rPr>
        <w:t>（</w:t>
      </w:r>
      <w:r>
        <w:rPr>
          <w:rFonts w:hint="eastAsia" w:ascii="仿宋_GB2312" w:hAnsi="仿宋_GB2312" w:cs="仿宋_GB2312"/>
          <w:b/>
          <w:bCs/>
          <w:color w:val="000000" w:themeColor="text1"/>
          <w:szCs w:val="32"/>
          <w:highlight w:val="none"/>
          <w:lang w:val="en-US" w:eastAsia="zh-CN"/>
          <w14:textFill>
            <w14:solidFill>
              <w14:schemeClr w14:val="tx1"/>
            </w14:solidFill>
          </w14:textFill>
        </w:rPr>
        <w:t>三</w:t>
      </w:r>
      <w:r>
        <w:rPr>
          <w:rFonts w:hint="eastAsia" w:ascii="仿宋_GB2312" w:hAnsi="仿宋_GB2312" w:cs="仿宋_GB2312"/>
          <w:b/>
          <w:bCs/>
          <w:color w:val="000000" w:themeColor="text1"/>
          <w:szCs w:val="32"/>
          <w:highlight w:val="none"/>
          <w:lang w:eastAsia="zh-CN"/>
          <w14:textFill>
            <w14:solidFill>
              <w14:schemeClr w14:val="tx1"/>
            </w14:solidFill>
          </w14:textFill>
        </w:rPr>
        <w:t>）</w:t>
      </w:r>
      <w:r>
        <w:rPr>
          <w:rFonts w:hint="eastAsia" w:ascii="仿宋_GB2312" w:hAnsi="仿宋_GB2312" w:eastAsia="仿宋_GB2312" w:cs="仿宋_GB2312"/>
          <w:b/>
          <w:bCs/>
          <w:color w:val="000000" w:themeColor="text1"/>
          <w:szCs w:val="32"/>
          <w:highlight w:val="none"/>
          <w14:textFill>
            <w14:solidFill>
              <w14:schemeClr w14:val="tx1"/>
            </w14:solidFill>
          </w14:textFill>
        </w:rPr>
        <w:t>综合</w:t>
      </w:r>
      <w:r>
        <w:rPr>
          <w:rFonts w:hint="eastAsia" w:ascii="仿宋_GB2312" w:hAnsi="仿宋_GB2312" w:cs="仿宋_GB2312"/>
          <w:b/>
          <w:bCs/>
          <w:color w:val="000000" w:themeColor="text1"/>
          <w:szCs w:val="32"/>
          <w:highlight w:val="none"/>
          <w:lang w:val="en-US" w:eastAsia="zh-CN"/>
          <w14:textFill>
            <w14:solidFill>
              <w14:schemeClr w14:val="tx1"/>
            </w14:solidFill>
          </w14:textFill>
        </w:rPr>
        <w:t>评审结果</w:t>
      </w:r>
    </w:p>
    <w:p>
      <w:pPr>
        <w:widowControl w:val="0"/>
        <w:spacing w:line="560" w:lineRule="exact"/>
        <w:ind w:firstLine="640" w:firstLineChars="200"/>
        <w:rPr>
          <w:rFonts w:hint="eastAsia" w:ascii="仿宋_GB2312" w:eastAsia="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秘书处综合</w:t>
      </w:r>
      <w:r>
        <w:rPr>
          <w:rFonts w:hint="eastAsia" w:ascii="仿宋_GB2312" w:hAnsi="仿宋_GB2312" w:cs="仿宋_GB2312"/>
          <w:color w:val="000000" w:themeColor="text1"/>
          <w:szCs w:val="32"/>
          <w:highlight w:val="none"/>
          <w:lang w:val="en-US" w:eastAsia="zh-CN"/>
          <w14:textFill>
            <w14:solidFill>
              <w14:schemeClr w14:val="tx1"/>
            </w14:solidFill>
          </w14:textFill>
        </w:rPr>
        <w:t>现场评审、现场核查</w:t>
      </w:r>
      <w:r>
        <w:rPr>
          <w:rFonts w:hint="eastAsia" w:ascii="仿宋_GB2312" w:hAnsi="仿宋_GB2312" w:eastAsia="仿宋_GB2312" w:cs="仿宋_GB2312"/>
          <w:color w:val="000000" w:themeColor="text1"/>
          <w:szCs w:val="32"/>
          <w:highlight w:val="none"/>
          <w14:textFill>
            <w14:solidFill>
              <w14:schemeClr w14:val="tx1"/>
            </w14:solidFill>
          </w14:textFill>
        </w:rPr>
        <w:t>得分高低</w:t>
      </w:r>
      <w:r>
        <w:rPr>
          <w:rFonts w:hint="eastAsia" w:ascii="仿宋_GB2312" w:eastAsia="仿宋_GB2312"/>
          <w:color w:val="000000" w:themeColor="text1"/>
          <w:sz w:val="32"/>
          <w:szCs w:val="32"/>
          <w:highlight w:val="none"/>
          <w14:textFill>
            <w14:solidFill>
              <w14:schemeClr w14:val="tx1"/>
            </w14:solidFill>
          </w14:textFill>
        </w:rPr>
        <w:t>拟定不超过</w:t>
      </w:r>
      <w:r>
        <w:rPr>
          <w:rFonts w:ascii="仿宋_GB2312" w:eastAsia="仿宋_GB2312"/>
          <w:color w:val="000000" w:themeColor="text1"/>
          <w:sz w:val="32"/>
          <w:szCs w:val="32"/>
          <w:highlight w:val="none"/>
          <w14:textFill>
            <w14:solidFill>
              <w14:schemeClr w14:val="tx1"/>
            </w14:solidFill>
          </w14:textFill>
        </w:rPr>
        <w:t>5</w:t>
      </w:r>
      <w:r>
        <w:rPr>
          <w:rFonts w:hint="eastAsia" w:ascii="仿宋_GB2312" w:eastAsia="仿宋_GB2312"/>
          <w:color w:val="000000" w:themeColor="text1"/>
          <w:sz w:val="32"/>
          <w:szCs w:val="32"/>
          <w:highlight w:val="none"/>
          <w14:textFill>
            <w14:solidFill>
              <w14:schemeClr w14:val="tx1"/>
            </w14:solidFill>
          </w14:textFill>
        </w:rPr>
        <w:t>家</w:t>
      </w:r>
      <w:r>
        <w:rPr>
          <w:rFonts w:hint="eastAsia" w:ascii="仿宋_GB2312" w:eastAsia="仿宋_GB2312"/>
          <w:color w:val="000000" w:themeColor="text1"/>
          <w:sz w:val="32"/>
          <w:szCs w:val="32"/>
          <w:highlight w:val="none"/>
          <w:lang w:val="en-US" w:eastAsia="zh-CN"/>
          <w14:textFill>
            <w14:solidFill>
              <w14:schemeClr w14:val="tx1"/>
            </w14:solidFill>
          </w14:textFill>
        </w:rPr>
        <w:t>组织</w:t>
      </w:r>
      <w:r>
        <w:rPr>
          <w:rFonts w:hint="eastAsia" w:ascii="仿宋_GB2312"/>
          <w:color w:val="000000" w:themeColor="text1"/>
          <w:sz w:val="32"/>
          <w:szCs w:val="32"/>
          <w:highlight w:val="none"/>
          <w:lang w:val="en-US" w:eastAsia="zh-CN"/>
          <w14:textFill>
            <w14:solidFill>
              <w14:schemeClr w14:val="tx1"/>
            </w14:solidFill>
          </w14:textFill>
        </w:rPr>
        <w:t>（原则上）</w:t>
      </w:r>
      <w:r>
        <w:rPr>
          <w:rFonts w:hint="eastAsia" w:ascii="仿宋_GB2312" w:eastAsia="仿宋_GB2312"/>
          <w:color w:val="000000" w:themeColor="text1"/>
          <w:sz w:val="32"/>
          <w:szCs w:val="32"/>
          <w:highlight w:val="none"/>
          <w14:textFill>
            <w14:solidFill>
              <w14:schemeClr w14:val="tx1"/>
            </w14:solidFill>
          </w14:textFill>
        </w:rPr>
        <w:t>进入政府质量奖评审答辩环节，拟定不超过1</w:t>
      </w:r>
      <w:r>
        <w:rPr>
          <w:rFonts w:ascii="仿宋_GB2312" w:eastAsia="仿宋_GB2312"/>
          <w:color w:val="000000" w:themeColor="text1"/>
          <w:sz w:val="32"/>
          <w:szCs w:val="32"/>
          <w:highlight w:val="none"/>
          <w14:textFill>
            <w14:solidFill>
              <w14:schemeClr w14:val="tx1"/>
            </w14:solidFill>
          </w14:textFill>
        </w:rPr>
        <w:t>0</w:t>
      </w:r>
      <w:r>
        <w:rPr>
          <w:rFonts w:hint="eastAsia" w:ascii="仿宋_GB2312" w:eastAsia="仿宋_GB2312"/>
          <w:color w:val="000000" w:themeColor="text1"/>
          <w:sz w:val="32"/>
          <w:szCs w:val="32"/>
          <w:highlight w:val="none"/>
          <w14:textFill>
            <w14:solidFill>
              <w14:schemeClr w14:val="tx1"/>
            </w14:solidFill>
          </w14:textFill>
        </w:rPr>
        <w:t>个班组</w:t>
      </w:r>
      <w:r>
        <w:rPr>
          <w:rFonts w:hint="eastAsia" w:ascii="仿宋_GB2312"/>
          <w:color w:val="000000" w:themeColor="text1"/>
          <w:sz w:val="32"/>
          <w:szCs w:val="32"/>
          <w:highlight w:val="none"/>
          <w:lang w:val="en-US" w:eastAsia="zh-CN"/>
          <w14:textFill>
            <w14:solidFill>
              <w14:schemeClr w14:val="tx1"/>
            </w14:solidFill>
          </w14:textFill>
        </w:rPr>
        <w:t>（原则上）</w:t>
      </w:r>
      <w:r>
        <w:rPr>
          <w:rFonts w:hint="eastAsia" w:ascii="仿宋_GB2312" w:eastAsia="仿宋_GB2312"/>
          <w:color w:val="000000" w:themeColor="text1"/>
          <w:sz w:val="32"/>
          <w:szCs w:val="32"/>
          <w:highlight w:val="none"/>
          <w14:textFill>
            <w14:solidFill>
              <w14:schemeClr w14:val="tx1"/>
            </w14:solidFill>
          </w14:textFill>
        </w:rPr>
        <w:t>提交评审委员会审议，由评审委员会投票确定</w:t>
      </w:r>
      <w:r>
        <w:rPr>
          <w:rFonts w:hint="eastAsia" w:ascii="仿宋_GB2312" w:eastAsia="仿宋_GB2312"/>
          <w:color w:val="000000" w:themeColor="text1"/>
          <w:sz w:val="32"/>
          <w:szCs w:val="32"/>
          <w:highlight w:val="none"/>
          <w:lang w:val="en-US" w:eastAsia="zh-CN"/>
          <w14:textFill>
            <w14:solidFill>
              <w14:schemeClr w14:val="tx1"/>
            </w14:solidFill>
          </w14:textFill>
        </w:rPr>
        <w:t>拟授奖组织和班组</w:t>
      </w:r>
      <w:r>
        <w:rPr>
          <w:rFonts w:hint="eastAsia" w:ascii="仿宋_GB2312" w:eastAsia="仿宋_GB2312"/>
          <w:color w:val="000000" w:themeColor="text1"/>
          <w:sz w:val="32"/>
          <w:szCs w:val="32"/>
          <w:highlight w:val="none"/>
          <w14:textFill>
            <w14:solidFill>
              <w14:schemeClr w14:val="tx1"/>
            </w14:solidFill>
          </w14:textFill>
        </w:rPr>
        <w:t>名单。</w:t>
      </w:r>
    </w:p>
    <w:p>
      <w:pPr>
        <w:widowControl w:val="0"/>
        <w:spacing w:line="560" w:lineRule="exact"/>
        <w:ind w:firstLine="643" w:firstLineChars="200"/>
        <w:rPr>
          <w:rFonts w:ascii="仿宋_GB2312" w:eastAsia="仿宋_GB2312"/>
          <w:b/>
          <w:bCs/>
          <w:color w:val="000000" w:themeColor="text1"/>
          <w:sz w:val="32"/>
          <w:szCs w:val="32"/>
          <w:highlight w:val="none"/>
          <w14:textFill>
            <w14:solidFill>
              <w14:schemeClr w14:val="tx1"/>
            </w14:solidFill>
          </w14:textFill>
        </w:rPr>
      </w:pPr>
      <w:r>
        <w:rPr>
          <w:rFonts w:hint="eastAsia" w:ascii="仿宋_GB2312" w:eastAsia="仿宋_GB2312"/>
          <w:b/>
          <w:bCs/>
          <w:color w:val="000000" w:themeColor="text1"/>
          <w:sz w:val="32"/>
          <w:szCs w:val="32"/>
          <w:highlight w:val="none"/>
          <w:lang w:eastAsia="zh-CN"/>
          <w14:textFill>
            <w14:solidFill>
              <w14:schemeClr w14:val="tx1"/>
            </w14:solidFill>
          </w14:textFill>
        </w:rPr>
        <w:t>（四）</w:t>
      </w:r>
      <w:r>
        <w:rPr>
          <w:rFonts w:hint="eastAsia" w:ascii="仿宋_GB2312" w:eastAsia="仿宋_GB2312"/>
          <w:b/>
          <w:bCs/>
          <w:color w:val="000000" w:themeColor="text1"/>
          <w:sz w:val="32"/>
          <w:szCs w:val="32"/>
          <w:highlight w:val="none"/>
          <w14:textFill>
            <w14:solidFill>
              <w14:schemeClr w14:val="tx1"/>
            </w14:solidFill>
          </w14:textFill>
        </w:rPr>
        <w:t>审议公示</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color w:val="000000" w:themeColor="text1"/>
          <w:sz w:val="32"/>
          <w:szCs w:val="32"/>
          <w:highlight w:val="none"/>
          <w:lang w:val="en-US" w:eastAsia="zh-CN"/>
          <w14:textFill>
            <w14:solidFill>
              <w14:schemeClr w14:val="tx1"/>
            </w14:solidFill>
          </w14:textFill>
        </w:rPr>
        <w:t>1.</w:t>
      </w:r>
      <w:r>
        <w:rPr>
          <w:rFonts w:hint="eastAsia" w:ascii="仿宋_GB2312" w:eastAsia="仿宋_GB2312"/>
          <w:color w:val="000000" w:themeColor="text1"/>
          <w:sz w:val="32"/>
          <w:szCs w:val="32"/>
          <w:highlight w:val="none"/>
          <w:lang w:eastAsia="zh-CN"/>
          <w14:textFill>
            <w14:solidFill>
              <w14:schemeClr w14:val="tx1"/>
            </w14:solidFill>
          </w14:textFill>
        </w:rPr>
        <w:t>集体</w:t>
      </w:r>
      <w:r>
        <w:rPr>
          <w:rFonts w:hint="eastAsia" w:ascii="仿宋_GB2312" w:eastAsia="仿宋_GB2312"/>
          <w:color w:val="000000" w:themeColor="text1"/>
          <w:sz w:val="32"/>
          <w:szCs w:val="32"/>
          <w:highlight w:val="none"/>
          <w14:textFill>
            <w14:solidFill>
              <w14:schemeClr w14:val="tx1"/>
            </w14:solidFill>
          </w14:textFill>
        </w:rPr>
        <w:t>审议。</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召开全体评审委员会议，审议秘书处提交的政府质量奖、提名奖、一线班组奖</w:t>
      </w:r>
      <w:r>
        <w:rPr>
          <w:rFonts w:hint="eastAsia" w:ascii="仿宋_GB2312" w:eastAsia="仿宋_GB2312"/>
          <w:color w:val="000000" w:themeColor="text1"/>
          <w:sz w:val="32"/>
          <w:szCs w:val="32"/>
          <w:highlight w:val="none"/>
          <w:lang w:val="en-US" w:eastAsia="zh-CN"/>
          <w14:textFill>
            <w14:solidFill>
              <w14:schemeClr w14:val="tx1"/>
            </w14:solidFill>
          </w14:textFill>
        </w:rPr>
        <w:t>建议获奖</w:t>
      </w:r>
      <w:r>
        <w:rPr>
          <w:rFonts w:hint="eastAsia" w:ascii="仿宋_GB2312" w:eastAsia="仿宋_GB2312"/>
          <w:color w:val="000000" w:themeColor="text1"/>
          <w:sz w:val="32"/>
          <w:szCs w:val="32"/>
          <w:highlight w:val="none"/>
          <w14:textFill>
            <w14:solidFill>
              <w14:schemeClr w14:val="tx1"/>
            </w14:solidFill>
          </w14:textFill>
        </w:rPr>
        <w:t>名单。</w:t>
      </w:r>
      <w:bookmarkStart w:id="1" w:name="_Hlk35959485"/>
      <w:r>
        <w:rPr>
          <w:rFonts w:hint="eastAsia" w:ascii="仿宋_GB2312"/>
          <w:color w:val="000000" w:themeColor="text1"/>
          <w:sz w:val="32"/>
          <w:szCs w:val="32"/>
          <w:highlight w:val="none"/>
          <w:lang w:val="en-US" w:eastAsia="zh-CN"/>
          <w14:textFill>
            <w14:solidFill>
              <w14:schemeClr w14:val="tx1"/>
            </w14:solidFill>
          </w14:textFill>
        </w:rPr>
        <w:t>集体审议</w:t>
      </w:r>
      <w:r>
        <w:rPr>
          <w:rFonts w:hint="eastAsia" w:ascii="仿宋_GB2312" w:eastAsia="仿宋_GB2312"/>
          <w:color w:val="000000" w:themeColor="text1"/>
          <w:sz w:val="32"/>
          <w:szCs w:val="32"/>
          <w:highlight w:val="none"/>
          <w14:textFill>
            <w14:solidFill>
              <w14:schemeClr w14:val="tx1"/>
            </w14:solidFill>
          </w14:textFill>
        </w:rPr>
        <w:t>采取</w:t>
      </w:r>
      <w:r>
        <w:rPr>
          <w:rFonts w:hint="eastAsia" w:ascii="仿宋_GB2312" w:eastAsia="仿宋_GB2312"/>
          <w:color w:val="000000" w:themeColor="text1"/>
          <w:sz w:val="32"/>
          <w:szCs w:val="32"/>
          <w:highlight w:val="none"/>
          <w:lang w:val="en-US" w:eastAsia="zh-CN"/>
          <w14:textFill>
            <w14:solidFill>
              <w14:schemeClr w14:val="tx1"/>
            </w14:solidFill>
          </w14:textFill>
        </w:rPr>
        <w:t>不记名</w:t>
      </w:r>
      <w:r>
        <w:rPr>
          <w:rFonts w:hint="eastAsia" w:ascii="仿宋_GB2312" w:eastAsia="仿宋_GB2312"/>
          <w:color w:val="000000" w:themeColor="text1"/>
          <w:sz w:val="32"/>
          <w:szCs w:val="32"/>
          <w:highlight w:val="none"/>
          <w14:textFill>
            <w14:solidFill>
              <w14:schemeClr w14:val="tx1"/>
            </w14:solidFill>
          </w14:textFill>
        </w:rPr>
        <w:t>投票表决方式确定</w:t>
      </w:r>
      <w:r>
        <w:rPr>
          <w:rFonts w:hint="eastAsia" w:ascii="仿宋_GB2312" w:eastAsia="仿宋_GB2312"/>
          <w:color w:val="000000" w:themeColor="text1"/>
          <w:sz w:val="32"/>
          <w:szCs w:val="32"/>
          <w:highlight w:val="none"/>
          <w:lang w:val="en-US" w:eastAsia="zh-CN"/>
          <w14:textFill>
            <w14:solidFill>
              <w14:schemeClr w14:val="tx1"/>
            </w14:solidFill>
          </w14:textFill>
        </w:rPr>
        <w:t>拟授奖</w:t>
      </w:r>
      <w:r>
        <w:rPr>
          <w:rFonts w:hint="eastAsia" w:ascii="仿宋_GB2312" w:eastAsia="仿宋_GB2312"/>
          <w:color w:val="000000" w:themeColor="text1"/>
          <w:sz w:val="32"/>
          <w:szCs w:val="32"/>
          <w:highlight w:val="none"/>
          <w14:textFill>
            <w14:solidFill>
              <w14:schemeClr w14:val="tx1"/>
            </w14:solidFill>
          </w14:textFill>
        </w:rPr>
        <w:t>名单。其中，政府质量奖</w:t>
      </w:r>
      <w:r>
        <w:rPr>
          <w:rFonts w:hint="eastAsia" w:ascii="仿宋_GB2312" w:eastAsia="仿宋_GB2312"/>
          <w:color w:val="000000" w:themeColor="text1"/>
          <w:sz w:val="32"/>
          <w:szCs w:val="32"/>
          <w:highlight w:val="none"/>
          <w:lang w:val="en-US" w:eastAsia="zh-CN"/>
          <w14:textFill>
            <w14:solidFill>
              <w14:schemeClr w14:val="tx1"/>
            </w14:solidFill>
          </w14:textFill>
        </w:rPr>
        <w:t>拟授奖</w:t>
      </w:r>
      <w:r>
        <w:rPr>
          <w:rFonts w:hint="eastAsia" w:ascii="仿宋_GB2312" w:eastAsia="仿宋_GB2312"/>
          <w:color w:val="000000" w:themeColor="text1"/>
          <w:sz w:val="32"/>
          <w:szCs w:val="32"/>
          <w:highlight w:val="none"/>
          <w14:textFill>
            <w14:solidFill>
              <w14:schemeClr w14:val="tx1"/>
            </w14:solidFill>
          </w14:textFill>
        </w:rPr>
        <w:t>名单</w:t>
      </w:r>
      <w:r>
        <w:rPr>
          <w:rFonts w:hint="eastAsia" w:ascii="仿宋_GB2312"/>
          <w:color w:val="000000" w:themeColor="text1"/>
          <w:sz w:val="32"/>
          <w:szCs w:val="32"/>
          <w:highlight w:val="none"/>
          <w:lang w:val="en-US" w:eastAsia="zh-CN"/>
          <w14:textFill>
            <w14:solidFill>
              <w14:schemeClr w14:val="tx1"/>
            </w14:solidFill>
          </w14:textFill>
        </w:rPr>
        <w:t>原则上</w:t>
      </w:r>
      <w:r>
        <w:rPr>
          <w:rFonts w:hint="eastAsia" w:ascii="仿宋_GB2312" w:eastAsia="仿宋_GB2312"/>
          <w:color w:val="000000" w:themeColor="text1"/>
          <w:sz w:val="32"/>
          <w:szCs w:val="32"/>
          <w:highlight w:val="none"/>
          <w14:textFill>
            <w14:solidFill>
              <w14:schemeClr w14:val="tx1"/>
            </w14:solidFill>
          </w14:textFill>
        </w:rPr>
        <w:t>不超过3家，提名奖拟授奖名单</w:t>
      </w:r>
      <w:r>
        <w:rPr>
          <w:rFonts w:hint="eastAsia" w:ascii="仿宋_GB2312"/>
          <w:color w:val="000000" w:themeColor="text1"/>
          <w:sz w:val="32"/>
          <w:szCs w:val="32"/>
          <w:highlight w:val="none"/>
          <w:lang w:val="en-US" w:eastAsia="zh-CN"/>
          <w14:textFill>
            <w14:solidFill>
              <w14:schemeClr w14:val="tx1"/>
            </w14:solidFill>
          </w14:textFill>
        </w:rPr>
        <w:t>原则上</w:t>
      </w:r>
      <w:r>
        <w:rPr>
          <w:rFonts w:hint="eastAsia" w:ascii="仿宋_GB2312" w:eastAsia="仿宋_GB2312"/>
          <w:color w:val="000000" w:themeColor="text1"/>
          <w:sz w:val="32"/>
          <w:szCs w:val="32"/>
          <w:highlight w:val="none"/>
          <w14:textFill>
            <w14:solidFill>
              <w14:schemeClr w14:val="tx1"/>
            </w14:solidFill>
          </w14:textFill>
        </w:rPr>
        <w:t>不超过2家，一线班组奖</w:t>
      </w:r>
      <w:r>
        <w:rPr>
          <w:rFonts w:hint="eastAsia" w:ascii="仿宋_GB2312" w:eastAsia="仿宋_GB2312"/>
          <w:color w:val="000000" w:themeColor="text1"/>
          <w:sz w:val="32"/>
          <w:szCs w:val="32"/>
          <w:highlight w:val="none"/>
          <w:lang w:val="en-US" w:eastAsia="zh-CN"/>
          <w14:textFill>
            <w14:solidFill>
              <w14:schemeClr w14:val="tx1"/>
            </w14:solidFill>
          </w14:textFill>
        </w:rPr>
        <w:t>拟授奖</w:t>
      </w:r>
      <w:r>
        <w:rPr>
          <w:rFonts w:hint="eastAsia" w:ascii="仿宋_GB2312" w:eastAsia="仿宋_GB2312"/>
          <w:color w:val="000000" w:themeColor="text1"/>
          <w:sz w:val="32"/>
          <w:szCs w:val="32"/>
          <w:highlight w:val="none"/>
          <w14:textFill>
            <w14:solidFill>
              <w14:schemeClr w14:val="tx1"/>
            </w14:solidFill>
          </w14:textFill>
        </w:rPr>
        <w:t>名单</w:t>
      </w:r>
      <w:r>
        <w:rPr>
          <w:rFonts w:hint="eastAsia" w:ascii="仿宋_GB2312"/>
          <w:color w:val="000000" w:themeColor="text1"/>
          <w:sz w:val="32"/>
          <w:szCs w:val="32"/>
          <w:highlight w:val="none"/>
          <w:lang w:val="en-US" w:eastAsia="zh-CN"/>
          <w14:textFill>
            <w14:solidFill>
              <w14:schemeClr w14:val="tx1"/>
            </w14:solidFill>
          </w14:textFill>
        </w:rPr>
        <w:t>原则上</w:t>
      </w:r>
      <w:r>
        <w:rPr>
          <w:rFonts w:hint="eastAsia" w:ascii="仿宋_GB2312" w:eastAsia="仿宋_GB2312"/>
          <w:color w:val="000000" w:themeColor="text1"/>
          <w:sz w:val="32"/>
          <w:szCs w:val="32"/>
          <w:highlight w:val="none"/>
          <w14:textFill>
            <w14:solidFill>
              <w14:schemeClr w14:val="tx1"/>
            </w14:solidFill>
          </w14:textFill>
        </w:rPr>
        <w:t>不超过10</w:t>
      </w:r>
      <w:r>
        <w:rPr>
          <w:rFonts w:hint="eastAsia" w:ascii="仿宋_GB2312"/>
          <w:color w:val="000000" w:themeColor="text1"/>
          <w:sz w:val="32"/>
          <w:szCs w:val="32"/>
          <w:highlight w:val="none"/>
          <w:lang w:val="en-US" w:eastAsia="zh-CN"/>
          <w14:textFill>
            <w14:solidFill>
              <w14:schemeClr w14:val="tx1"/>
            </w14:solidFill>
          </w14:textFill>
        </w:rPr>
        <w:t>个</w:t>
      </w:r>
      <w:r>
        <w:rPr>
          <w:rFonts w:hint="eastAsia" w:ascii="仿宋_GB2312" w:eastAsia="仿宋_GB2312"/>
          <w:color w:val="000000" w:themeColor="text1"/>
          <w:sz w:val="32"/>
          <w:szCs w:val="32"/>
          <w:highlight w:val="none"/>
          <w14:textFill>
            <w14:solidFill>
              <w14:schemeClr w14:val="tx1"/>
            </w14:solidFill>
          </w14:textFill>
        </w:rPr>
        <w:t>。</w:t>
      </w:r>
      <w:bookmarkEnd w:id="1"/>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color w:val="000000" w:themeColor="text1"/>
          <w:sz w:val="32"/>
          <w:szCs w:val="32"/>
          <w:highlight w:val="none"/>
          <w:lang w:val="en-US" w:eastAsia="zh-CN"/>
          <w14:textFill>
            <w14:solidFill>
              <w14:schemeClr w14:val="tx1"/>
            </w14:solidFill>
          </w14:textFill>
        </w:rPr>
        <w:t>2.</w:t>
      </w:r>
      <w:r>
        <w:rPr>
          <w:rFonts w:hint="eastAsia" w:ascii="仿宋_GB2312" w:eastAsia="仿宋_GB2312"/>
          <w:color w:val="000000" w:themeColor="text1"/>
          <w:sz w:val="32"/>
          <w:szCs w:val="32"/>
          <w:highlight w:val="none"/>
          <w14:textFill>
            <w14:solidFill>
              <w14:schemeClr w14:val="tx1"/>
            </w14:solidFill>
          </w14:textFill>
        </w:rPr>
        <w:t>社会公示。</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秘书处通过政府门户网站，将</w:t>
      </w:r>
      <w:r>
        <w:rPr>
          <w:rFonts w:hint="eastAsia" w:ascii="仿宋_GB2312" w:eastAsia="仿宋_GB2312"/>
          <w:color w:val="000000" w:themeColor="text1"/>
          <w:sz w:val="32"/>
          <w:szCs w:val="32"/>
          <w:highlight w:val="none"/>
          <w:lang w:val="en-US" w:eastAsia="zh-CN"/>
          <w14:textFill>
            <w14:solidFill>
              <w14:schemeClr w14:val="tx1"/>
            </w14:solidFill>
          </w14:textFill>
        </w:rPr>
        <w:t>拟授</w:t>
      </w:r>
      <w:r>
        <w:rPr>
          <w:rFonts w:hint="eastAsia" w:ascii="仿宋_GB2312" w:eastAsia="仿宋_GB2312"/>
          <w:color w:val="000000" w:themeColor="text1"/>
          <w:sz w:val="32"/>
          <w:szCs w:val="32"/>
          <w:highlight w:val="none"/>
          <w14:textFill>
            <w14:solidFill>
              <w14:schemeClr w14:val="tx1"/>
            </w14:solidFill>
          </w14:textFill>
        </w:rPr>
        <w:t>政府质量奖、提名奖、一线班组奖名单向社会公示10天。对有投诉问题的，进行调查核实和反馈，并提出处理意见</w:t>
      </w:r>
      <w:r>
        <w:rPr>
          <w:rFonts w:hint="eastAsia" w:ascii="仿宋_GB2312" w:eastAsia="仿宋_GB2312"/>
          <w:color w:val="000000" w:themeColor="text1"/>
          <w:sz w:val="32"/>
          <w:szCs w:val="32"/>
          <w:highlight w:val="none"/>
          <w:lang w:eastAsia="zh-CN"/>
          <w14:textFill>
            <w14:solidFill>
              <w14:schemeClr w14:val="tx1"/>
            </w14:solidFill>
          </w14:textFill>
        </w:rPr>
        <w:t>，</w:t>
      </w:r>
      <w:r>
        <w:rPr>
          <w:rFonts w:hint="eastAsia" w:ascii="仿宋_GB2312" w:eastAsia="仿宋_GB2312"/>
          <w:color w:val="000000" w:themeColor="text1"/>
          <w:sz w:val="32"/>
          <w:szCs w:val="32"/>
          <w:highlight w:val="none"/>
          <w:lang w:val="en-US" w:eastAsia="zh-CN"/>
          <w14:textFill>
            <w14:solidFill>
              <w14:schemeClr w14:val="tx1"/>
            </w14:solidFill>
          </w14:textFill>
        </w:rPr>
        <w:t>向评委会提交书面核查报告。</w:t>
      </w:r>
    </w:p>
    <w:p>
      <w:pPr>
        <w:widowControl w:val="0"/>
        <w:spacing w:line="560" w:lineRule="exact"/>
        <w:ind w:firstLine="643" w:firstLineChars="200"/>
        <w:rPr>
          <w:rFonts w:ascii="仿宋_GB2312" w:eastAsia="仿宋_GB2312"/>
          <w:b/>
          <w:bCs/>
          <w:color w:val="000000" w:themeColor="text1"/>
          <w:sz w:val="32"/>
          <w:szCs w:val="32"/>
          <w:highlight w:val="none"/>
          <w14:textFill>
            <w14:solidFill>
              <w14:schemeClr w14:val="tx1"/>
            </w14:solidFill>
          </w14:textFill>
        </w:rPr>
      </w:pPr>
      <w:r>
        <w:rPr>
          <w:rFonts w:hint="eastAsia" w:ascii="仿宋_GB2312" w:eastAsia="仿宋_GB2312"/>
          <w:b/>
          <w:bCs/>
          <w:color w:val="000000" w:themeColor="text1"/>
          <w:sz w:val="32"/>
          <w:szCs w:val="32"/>
          <w:highlight w:val="none"/>
          <w:lang w:eastAsia="zh-CN"/>
          <w14:textFill>
            <w14:solidFill>
              <w14:schemeClr w14:val="tx1"/>
            </w14:solidFill>
          </w14:textFill>
        </w:rPr>
        <w:t>（五）</w:t>
      </w:r>
      <w:r>
        <w:rPr>
          <w:rFonts w:hint="eastAsia" w:ascii="仿宋_GB2312" w:eastAsia="仿宋_GB2312"/>
          <w:b/>
          <w:bCs/>
          <w:color w:val="000000" w:themeColor="text1"/>
          <w:sz w:val="32"/>
          <w:szCs w:val="32"/>
          <w:highlight w:val="none"/>
          <w14:textFill>
            <w14:solidFill>
              <w14:schemeClr w14:val="tx1"/>
            </w14:solidFill>
          </w14:textFill>
        </w:rPr>
        <w:t>审定报批</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秘书处将通过公示的</w:t>
      </w:r>
      <w:r>
        <w:rPr>
          <w:rFonts w:hint="eastAsia" w:ascii="仿宋_GB2312" w:eastAsia="仿宋_GB2312"/>
          <w:color w:val="000000" w:themeColor="text1"/>
          <w:sz w:val="32"/>
          <w:szCs w:val="32"/>
          <w:highlight w:val="none"/>
          <w:lang w:val="en-US" w:eastAsia="zh-CN"/>
          <w14:textFill>
            <w14:solidFill>
              <w14:schemeClr w14:val="tx1"/>
            </w14:solidFill>
          </w14:textFill>
        </w:rPr>
        <w:t>拟授奖</w:t>
      </w:r>
      <w:r>
        <w:rPr>
          <w:rFonts w:hint="eastAsia" w:ascii="仿宋_GB2312" w:eastAsia="仿宋_GB2312"/>
          <w:color w:val="000000" w:themeColor="text1"/>
          <w:sz w:val="32"/>
          <w:szCs w:val="32"/>
          <w:highlight w:val="none"/>
          <w14:textFill>
            <w14:solidFill>
              <w14:schemeClr w14:val="tx1"/>
            </w14:solidFill>
          </w14:textFill>
        </w:rPr>
        <w:t>名单报区政府审定。</w:t>
      </w:r>
    </w:p>
    <w:p>
      <w:pPr>
        <w:widowControl w:val="0"/>
        <w:spacing w:line="560" w:lineRule="exact"/>
        <w:ind w:firstLine="640" w:firstLineChars="200"/>
        <w:rPr>
          <w:rFonts w:hint="eastAsia" w:ascii="仿宋_GB2312" w:eastAsia="仿宋_GB2312"/>
          <w:b/>
          <w:bCs/>
          <w:color w:val="000000" w:themeColor="text1"/>
          <w:sz w:val="32"/>
          <w:szCs w:val="32"/>
          <w:highlight w:val="none"/>
          <w:lang w:eastAsia="zh-CN"/>
          <w14:textFill>
            <w14:solidFill>
              <w14:schemeClr w14:val="tx1"/>
            </w14:solidFill>
          </w14:textFill>
        </w:rPr>
      </w:pPr>
      <w:r>
        <w:rPr>
          <w:rFonts w:hint="eastAsia" w:ascii="黑体" w:hAnsi="黑体" w:eastAsia="黑体" w:cs="黑体"/>
          <w:color w:val="000000" w:themeColor="text1"/>
          <w:szCs w:val="32"/>
          <w:highlight w:val="none"/>
          <w:lang w:val="en-US" w:eastAsia="zh-CN"/>
          <w14:textFill>
            <w14:solidFill>
              <w14:schemeClr w14:val="tx1"/>
            </w14:solidFill>
          </w14:textFill>
        </w:rPr>
        <w:t>六、表彰奖励</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lang w:val="en-US" w:eastAsia="zh-CN"/>
          <w14:textFill>
            <w14:solidFill>
              <w14:schemeClr w14:val="tx1"/>
            </w14:solidFill>
          </w14:textFill>
        </w:rPr>
        <w:t>区政府发文确定年度顺德政府质量奖获奖名单</w:t>
      </w:r>
      <w:r>
        <w:rPr>
          <w:rFonts w:hint="eastAsia" w:ascii="仿宋_GB2312" w:eastAsia="仿宋_GB2312"/>
          <w:color w:val="000000" w:themeColor="text1"/>
          <w:sz w:val="32"/>
          <w:szCs w:val="32"/>
          <w:highlight w:val="none"/>
          <w14:textFill>
            <w14:solidFill>
              <w14:schemeClr w14:val="tx1"/>
            </w14:solidFill>
          </w14:textFill>
        </w:rPr>
        <w:t>，</w:t>
      </w:r>
      <w:r>
        <w:rPr>
          <w:rFonts w:hint="eastAsia" w:ascii="仿宋_GB2312" w:eastAsia="仿宋_GB2312"/>
          <w:color w:val="000000" w:themeColor="text1"/>
          <w:sz w:val="32"/>
          <w:szCs w:val="32"/>
          <w:highlight w:val="none"/>
          <w:lang w:val="en-US" w:eastAsia="zh-CN"/>
          <w14:textFill>
            <w14:solidFill>
              <w14:schemeClr w14:val="tx1"/>
            </w14:solidFill>
          </w14:textFill>
        </w:rPr>
        <w:t>评审委员会发布通报表彰文件，</w:t>
      </w:r>
      <w:r>
        <w:rPr>
          <w:rFonts w:hint="eastAsia" w:ascii="仿宋_GB2312" w:eastAsia="仿宋_GB2312"/>
          <w:color w:val="000000" w:themeColor="text1"/>
          <w:sz w:val="32"/>
          <w:szCs w:val="32"/>
          <w:highlight w:val="none"/>
          <w14:textFill>
            <w14:solidFill>
              <w14:schemeClr w14:val="tx1"/>
            </w14:solidFill>
          </w14:textFill>
        </w:rPr>
        <w:t>颁发奖牌、证书及奖金。</w:t>
      </w:r>
    </w:p>
    <w:p>
      <w:pPr>
        <w:spacing w:line="560" w:lineRule="exact"/>
        <w:ind w:firstLine="640" w:firstLineChars="200"/>
        <w:rPr>
          <w:rFonts w:hint="eastAsia" w:ascii="黑体" w:hAnsi="黑体" w:eastAsia="黑体" w:cs="黑体"/>
          <w:color w:val="000000" w:themeColor="text1"/>
          <w:szCs w:val="32"/>
          <w:highlight w:val="none"/>
          <w:lang w:val="en-US" w:eastAsia="zh-CN"/>
          <w14:textFill>
            <w14:solidFill>
              <w14:schemeClr w14:val="tx1"/>
            </w14:solidFill>
          </w14:textFill>
        </w:rPr>
      </w:pPr>
      <w:bookmarkStart w:id="2" w:name="_Hlk34320014"/>
      <w:r>
        <w:rPr>
          <w:rFonts w:hint="eastAsia" w:ascii="黑体" w:hAnsi="黑体" w:eastAsia="黑体" w:cs="黑体"/>
          <w:color w:val="000000" w:themeColor="text1"/>
          <w:szCs w:val="32"/>
          <w:highlight w:val="none"/>
          <w:lang w:val="en-US" w:eastAsia="zh-CN"/>
          <w14:textFill>
            <w14:solidFill>
              <w14:schemeClr w14:val="tx1"/>
            </w14:solidFill>
          </w14:textFill>
        </w:rPr>
        <w:t>七、评审联络</w:t>
      </w:r>
    </w:p>
    <w:p>
      <w:pPr>
        <w:widowControl w:val="0"/>
        <w:spacing w:line="560" w:lineRule="exact"/>
        <w:ind w:firstLine="640" w:firstLineChars="200"/>
        <w:rPr>
          <w:rFonts w:hint="eastAsia"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lang w:eastAsia="zh-CN"/>
          <w14:textFill>
            <w14:solidFill>
              <w14:schemeClr w14:val="tx1"/>
            </w14:solidFill>
          </w14:textFill>
        </w:rPr>
        <w:t>专家评审期间，由属地市场监督管理所指派人员</w:t>
      </w:r>
      <w:r>
        <w:rPr>
          <w:rFonts w:hint="eastAsia" w:ascii="仿宋_GB2312" w:eastAsia="仿宋_GB2312"/>
          <w:color w:val="000000" w:themeColor="text1"/>
          <w:sz w:val="32"/>
          <w:szCs w:val="32"/>
          <w:highlight w:val="none"/>
          <w:lang w:val="en-US" w:eastAsia="zh-CN"/>
          <w14:textFill>
            <w14:solidFill>
              <w14:schemeClr w14:val="tx1"/>
            </w14:solidFill>
          </w14:textFill>
        </w:rPr>
        <w:t>担任评审联络员，</w:t>
      </w:r>
      <w:r>
        <w:rPr>
          <w:rFonts w:hint="eastAsia" w:ascii="仿宋_GB2312" w:eastAsia="仿宋_GB2312"/>
          <w:color w:val="000000" w:themeColor="text1"/>
          <w:sz w:val="32"/>
          <w:szCs w:val="32"/>
          <w:highlight w:val="none"/>
          <w14:textFill>
            <w14:solidFill>
              <w14:schemeClr w14:val="tx1"/>
            </w14:solidFill>
          </w14:textFill>
        </w:rPr>
        <w:t>与评审组和申报</w:t>
      </w:r>
      <w:r>
        <w:rPr>
          <w:rFonts w:hint="eastAsia" w:ascii="仿宋_GB2312" w:eastAsia="仿宋_GB2312"/>
          <w:color w:val="000000" w:themeColor="text1"/>
          <w:sz w:val="32"/>
          <w:szCs w:val="32"/>
          <w:highlight w:val="none"/>
          <w:lang w:val="en-US" w:eastAsia="zh-CN"/>
          <w14:textFill>
            <w14:solidFill>
              <w14:schemeClr w14:val="tx1"/>
            </w14:solidFill>
          </w14:textFill>
        </w:rPr>
        <w:t>组织</w:t>
      </w:r>
      <w:r>
        <w:rPr>
          <w:rFonts w:hint="eastAsia" w:ascii="仿宋_GB2312" w:eastAsia="仿宋_GB2312"/>
          <w:color w:val="000000" w:themeColor="text1"/>
          <w:sz w:val="32"/>
          <w:szCs w:val="32"/>
          <w:highlight w:val="none"/>
          <w14:textFill>
            <w14:solidFill>
              <w14:schemeClr w14:val="tx1"/>
            </w14:solidFill>
          </w14:textFill>
        </w:rPr>
        <w:t>保持密切沟通，确保评审工作按照有关要求</w:t>
      </w:r>
      <w:r>
        <w:rPr>
          <w:rFonts w:hint="eastAsia" w:ascii="仿宋_GB2312" w:eastAsia="仿宋_GB2312"/>
          <w:color w:val="000000" w:themeColor="text1"/>
          <w:sz w:val="32"/>
          <w:szCs w:val="32"/>
          <w:highlight w:val="none"/>
          <w:lang w:eastAsia="zh-CN"/>
          <w14:textFill>
            <w14:solidFill>
              <w14:schemeClr w14:val="tx1"/>
            </w14:solidFill>
          </w14:textFill>
        </w:rPr>
        <w:t>顺利</w:t>
      </w:r>
      <w:r>
        <w:rPr>
          <w:rFonts w:hint="eastAsia" w:ascii="仿宋_GB2312" w:eastAsia="仿宋_GB2312"/>
          <w:color w:val="000000" w:themeColor="text1"/>
          <w:sz w:val="32"/>
          <w:szCs w:val="32"/>
          <w:highlight w:val="none"/>
          <w14:textFill>
            <w14:solidFill>
              <w14:schemeClr w14:val="tx1"/>
            </w14:solidFill>
          </w14:textFill>
        </w:rPr>
        <w:t>进行。</w:t>
      </w:r>
    </w:p>
    <w:p>
      <w:pPr>
        <w:spacing w:line="560" w:lineRule="exact"/>
        <w:ind w:firstLine="640" w:firstLineChars="200"/>
        <w:rPr>
          <w:rFonts w:hint="eastAsia" w:ascii="黑体" w:hAnsi="黑体" w:eastAsia="黑体" w:cs="黑体"/>
          <w:color w:val="000000" w:themeColor="text1"/>
          <w:szCs w:val="32"/>
          <w:highlight w:val="none"/>
          <w:lang w:val="en-US" w:eastAsia="zh-CN"/>
          <w14:textFill>
            <w14:solidFill>
              <w14:schemeClr w14:val="tx1"/>
            </w14:solidFill>
          </w14:textFill>
        </w:rPr>
      </w:pPr>
      <w:r>
        <w:rPr>
          <w:rFonts w:hint="eastAsia" w:ascii="黑体" w:hAnsi="黑体" w:eastAsia="黑体" w:cs="黑体"/>
          <w:color w:val="000000" w:themeColor="text1"/>
          <w:szCs w:val="32"/>
          <w:highlight w:val="none"/>
          <w:lang w:val="en-US" w:eastAsia="zh-CN"/>
          <w14:textFill>
            <w14:solidFill>
              <w14:schemeClr w14:val="tx1"/>
            </w14:solidFill>
          </w14:textFill>
        </w:rPr>
        <w:t>八、评审监督</w:t>
      </w:r>
    </w:p>
    <w:bookmarkEnd w:id="2"/>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秘书处</w:t>
      </w:r>
      <w:r>
        <w:rPr>
          <w:rFonts w:hint="eastAsia" w:ascii="仿宋_GB2312" w:eastAsia="仿宋_GB2312"/>
          <w:color w:val="000000" w:themeColor="text1"/>
          <w:sz w:val="32"/>
          <w:szCs w:val="32"/>
          <w:highlight w:val="none"/>
          <w:lang w:eastAsia="zh-CN"/>
          <w14:textFill>
            <w14:solidFill>
              <w14:schemeClr w14:val="tx1"/>
            </w14:solidFill>
          </w14:textFill>
        </w:rPr>
        <w:t>在专家评审期间，组建评审监督组</w:t>
      </w:r>
      <w:r>
        <w:rPr>
          <w:rFonts w:hint="eastAsia" w:ascii="仿宋_GB2312" w:eastAsia="仿宋_GB2312"/>
          <w:color w:val="000000" w:themeColor="text1"/>
          <w:sz w:val="32"/>
          <w:szCs w:val="32"/>
          <w:highlight w:val="none"/>
          <w:lang w:val="en-US" w:eastAsia="zh-CN"/>
          <w14:textFill>
            <w14:solidFill>
              <w14:schemeClr w14:val="tx1"/>
            </w14:solidFill>
          </w14:textFill>
        </w:rPr>
        <w:t>负责评审监督工作</w:t>
      </w:r>
      <w:r>
        <w:rPr>
          <w:rFonts w:hint="eastAsia" w:ascii="仿宋_GB2312"/>
          <w:color w:val="000000" w:themeColor="text1"/>
          <w:sz w:val="32"/>
          <w:szCs w:val="32"/>
          <w:highlight w:val="none"/>
          <w:lang w:val="en-US" w:eastAsia="zh-CN"/>
          <w14:textFill>
            <w14:solidFill>
              <w14:schemeClr w14:val="tx1"/>
            </w14:solidFill>
          </w14:textFill>
        </w:rPr>
        <w:t>。</w:t>
      </w:r>
      <w:r>
        <w:rPr>
          <w:rFonts w:hint="eastAsia" w:ascii="仿宋_GB2312" w:eastAsia="仿宋_GB2312"/>
          <w:color w:val="000000" w:themeColor="text1"/>
          <w:sz w:val="32"/>
          <w:szCs w:val="32"/>
          <w:highlight w:val="none"/>
          <w:lang w:val="en-US" w:eastAsia="zh-CN"/>
          <w14:textFill>
            <w14:solidFill>
              <w14:schemeClr w14:val="tx1"/>
            </w14:solidFill>
          </w14:textFill>
        </w:rPr>
        <w:t>评审</w:t>
      </w:r>
      <w:r>
        <w:rPr>
          <w:rFonts w:hint="eastAsia" w:ascii="仿宋_GB2312" w:eastAsia="仿宋_GB2312"/>
          <w:color w:val="000000" w:themeColor="text1"/>
          <w:sz w:val="32"/>
          <w:szCs w:val="32"/>
          <w:highlight w:val="none"/>
          <w14:textFill>
            <w14:solidFill>
              <w14:schemeClr w14:val="tx1"/>
            </w14:solidFill>
          </w14:textFill>
        </w:rPr>
        <w:t>监督</w:t>
      </w:r>
      <w:r>
        <w:rPr>
          <w:rFonts w:hint="eastAsia" w:ascii="仿宋_GB2312" w:eastAsia="仿宋_GB2312"/>
          <w:color w:val="000000" w:themeColor="text1"/>
          <w:sz w:val="32"/>
          <w:szCs w:val="32"/>
          <w:highlight w:val="none"/>
          <w:lang w:eastAsia="zh-CN"/>
          <w14:textFill>
            <w14:solidFill>
              <w14:schemeClr w14:val="tx1"/>
            </w14:solidFill>
          </w14:textFill>
        </w:rPr>
        <w:t>组工作人</w:t>
      </w:r>
      <w:r>
        <w:rPr>
          <w:rFonts w:hint="eastAsia" w:ascii="仿宋_GB2312" w:eastAsia="仿宋_GB2312"/>
          <w:color w:val="000000" w:themeColor="text1"/>
          <w:sz w:val="32"/>
          <w:szCs w:val="32"/>
          <w:highlight w:val="none"/>
          <w:lang w:val="en-US" w:eastAsia="zh-CN"/>
          <w14:textFill>
            <w14:solidFill>
              <w14:schemeClr w14:val="tx1"/>
            </w14:solidFill>
          </w14:textFill>
        </w:rPr>
        <w:t>员</w:t>
      </w:r>
      <w:r>
        <w:rPr>
          <w:rFonts w:hint="eastAsia" w:ascii="仿宋_GB2312"/>
          <w:color w:val="000000" w:themeColor="text1"/>
          <w:sz w:val="32"/>
          <w:szCs w:val="32"/>
          <w:highlight w:val="none"/>
          <w:lang w:val="en-US" w:eastAsia="zh-CN"/>
          <w14:textFill>
            <w14:solidFill>
              <w14:schemeClr w14:val="tx1"/>
            </w14:solidFill>
          </w14:textFill>
        </w:rPr>
        <w:t>原则上由评审委员会成员单位委派，且</w:t>
      </w:r>
      <w:r>
        <w:rPr>
          <w:rFonts w:hint="eastAsia" w:ascii="仿宋_GB2312" w:eastAsia="仿宋_GB2312"/>
          <w:color w:val="000000" w:themeColor="text1"/>
          <w:sz w:val="32"/>
          <w:szCs w:val="32"/>
          <w:highlight w:val="none"/>
          <w14:textFill>
            <w14:solidFill>
              <w14:schemeClr w14:val="tx1"/>
            </w14:solidFill>
          </w14:textFill>
        </w:rPr>
        <w:t>与受评审组织和班组无利益相关</w:t>
      </w:r>
      <w:r>
        <w:rPr>
          <w:rFonts w:hint="eastAsia" w:ascii="仿宋_GB2312" w:eastAsia="仿宋_GB2312"/>
          <w:color w:val="000000" w:themeColor="text1"/>
          <w:sz w:val="32"/>
          <w:szCs w:val="32"/>
          <w:highlight w:val="none"/>
          <w:lang w:eastAsia="zh-CN"/>
          <w14:textFill>
            <w14:solidFill>
              <w14:schemeClr w14:val="tx1"/>
            </w14:solidFill>
          </w14:textFill>
        </w:rPr>
        <w:t>，</w:t>
      </w:r>
      <w:r>
        <w:rPr>
          <w:rFonts w:hint="eastAsia" w:ascii="仿宋_GB2312" w:eastAsia="仿宋_GB2312"/>
          <w:color w:val="000000" w:themeColor="text1"/>
          <w:sz w:val="32"/>
          <w:szCs w:val="32"/>
          <w:highlight w:val="none"/>
          <w14:textFill>
            <w14:solidFill>
              <w14:schemeClr w14:val="tx1"/>
            </w14:solidFill>
          </w14:textFill>
        </w:rPr>
        <w:t>负责评审的监督，不参与评审活动。</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lang w:eastAsia="zh-CN"/>
          <w14:textFill>
            <w14:solidFill>
              <w14:schemeClr w14:val="tx1"/>
            </w14:solidFill>
          </w14:textFill>
        </w:rPr>
        <w:t>评审监督组工作人员</w:t>
      </w:r>
      <w:r>
        <w:rPr>
          <w:rFonts w:hint="eastAsia" w:ascii="仿宋_GB2312" w:eastAsia="仿宋_GB2312"/>
          <w:color w:val="000000" w:themeColor="text1"/>
          <w:sz w:val="32"/>
          <w:szCs w:val="32"/>
          <w:highlight w:val="none"/>
          <w14:textFill>
            <w14:solidFill>
              <w14:schemeClr w14:val="tx1"/>
            </w14:solidFill>
          </w14:textFill>
        </w:rPr>
        <w:t>应履行以下工作职责及行为规范：</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1.对评审过程进行监督</w:t>
      </w:r>
      <w:r>
        <w:rPr>
          <w:rFonts w:hint="eastAsia" w:ascii="仿宋_GB2312" w:eastAsia="仿宋_GB2312"/>
          <w:color w:val="000000" w:themeColor="text1"/>
          <w:sz w:val="32"/>
          <w:szCs w:val="32"/>
          <w:highlight w:val="none"/>
          <w:lang w:eastAsia="zh-CN"/>
          <w14:textFill>
            <w14:solidFill>
              <w14:schemeClr w14:val="tx1"/>
            </w14:solidFill>
          </w14:textFill>
        </w:rPr>
        <w:t>抽查</w:t>
      </w:r>
      <w:r>
        <w:rPr>
          <w:rFonts w:hint="eastAsia" w:ascii="仿宋_GB2312" w:eastAsia="仿宋_GB2312"/>
          <w:color w:val="000000" w:themeColor="text1"/>
          <w:sz w:val="32"/>
          <w:szCs w:val="32"/>
          <w:highlight w:val="none"/>
          <w14:textFill>
            <w14:solidFill>
              <w14:schemeClr w14:val="tx1"/>
            </w14:solidFill>
          </w14:textFill>
        </w:rPr>
        <w:t>，</w:t>
      </w:r>
      <w:r>
        <w:rPr>
          <w:rFonts w:hint="eastAsia" w:ascii="仿宋_GB2312" w:eastAsia="仿宋_GB2312"/>
          <w:color w:val="000000" w:themeColor="text1"/>
          <w:sz w:val="32"/>
          <w:szCs w:val="32"/>
          <w:highlight w:val="none"/>
          <w:lang w:eastAsia="zh-CN"/>
          <w14:textFill>
            <w14:solidFill>
              <w14:schemeClr w14:val="tx1"/>
            </w14:solidFill>
          </w14:textFill>
        </w:rPr>
        <w:t>如</w:t>
      </w:r>
      <w:r>
        <w:rPr>
          <w:rFonts w:hint="eastAsia" w:ascii="仿宋_GB2312" w:eastAsia="仿宋_GB2312"/>
          <w:color w:val="000000" w:themeColor="text1"/>
          <w:sz w:val="32"/>
          <w:szCs w:val="32"/>
          <w:highlight w:val="none"/>
          <w14:textFill>
            <w14:solidFill>
              <w14:schemeClr w14:val="tx1"/>
            </w14:solidFill>
          </w14:textFill>
        </w:rPr>
        <w:t>发现评审</w:t>
      </w:r>
      <w:r>
        <w:rPr>
          <w:rFonts w:hint="eastAsia" w:ascii="仿宋_GB2312" w:eastAsia="仿宋_GB2312"/>
          <w:color w:val="000000" w:themeColor="text1"/>
          <w:sz w:val="32"/>
          <w:szCs w:val="32"/>
          <w:highlight w:val="none"/>
          <w:lang w:eastAsia="zh-CN"/>
          <w14:textFill>
            <w14:solidFill>
              <w14:schemeClr w14:val="tx1"/>
            </w14:solidFill>
          </w14:textFill>
        </w:rPr>
        <w:t>专家</w:t>
      </w:r>
      <w:r>
        <w:rPr>
          <w:rFonts w:hint="eastAsia" w:ascii="仿宋_GB2312" w:eastAsia="仿宋_GB2312"/>
          <w:color w:val="000000" w:themeColor="text1"/>
          <w:sz w:val="32"/>
          <w:szCs w:val="32"/>
          <w:highlight w:val="none"/>
          <w14:textFill>
            <w14:solidFill>
              <w14:schemeClr w14:val="tx1"/>
            </w14:solidFill>
          </w14:textFill>
        </w:rPr>
        <w:t>有违反公正性及保密性等相关要求时，及时劝阻并向秘书处报告。</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2.接受被评审</w:t>
      </w:r>
      <w:r>
        <w:rPr>
          <w:rFonts w:hint="eastAsia" w:ascii="仿宋_GB2312" w:eastAsia="仿宋_GB2312"/>
          <w:color w:val="000000" w:themeColor="text1"/>
          <w:sz w:val="32"/>
          <w:szCs w:val="32"/>
          <w:highlight w:val="none"/>
          <w:lang w:val="en-US" w:eastAsia="zh-CN"/>
          <w14:textFill>
            <w14:solidFill>
              <w14:schemeClr w14:val="tx1"/>
            </w14:solidFill>
          </w14:textFill>
        </w:rPr>
        <w:t>组织</w:t>
      </w:r>
      <w:r>
        <w:rPr>
          <w:rFonts w:hint="eastAsia" w:ascii="仿宋_GB2312" w:eastAsia="仿宋_GB2312"/>
          <w:color w:val="000000" w:themeColor="text1"/>
          <w:sz w:val="32"/>
          <w:szCs w:val="32"/>
          <w:highlight w:val="none"/>
          <w14:textFill>
            <w14:solidFill>
              <w14:schemeClr w14:val="tx1"/>
            </w14:solidFill>
          </w14:textFill>
        </w:rPr>
        <w:t>和评审</w:t>
      </w:r>
      <w:r>
        <w:rPr>
          <w:rFonts w:hint="eastAsia" w:ascii="仿宋_GB2312" w:eastAsia="仿宋_GB2312"/>
          <w:color w:val="000000" w:themeColor="text1"/>
          <w:sz w:val="32"/>
          <w:szCs w:val="32"/>
          <w:highlight w:val="none"/>
          <w:lang w:eastAsia="zh-CN"/>
          <w14:textFill>
            <w14:solidFill>
              <w14:schemeClr w14:val="tx1"/>
            </w14:solidFill>
          </w14:textFill>
        </w:rPr>
        <w:t>专家</w:t>
      </w:r>
      <w:r>
        <w:rPr>
          <w:rFonts w:hint="eastAsia" w:ascii="仿宋_GB2312" w:eastAsia="仿宋_GB2312"/>
          <w:color w:val="000000" w:themeColor="text1"/>
          <w:sz w:val="32"/>
          <w:szCs w:val="32"/>
          <w:highlight w:val="none"/>
          <w14:textFill>
            <w14:solidFill>
              <w14:schemeClr w14:val="tx1"/>
            </w14:solidFill>
          </w14:textFill>
        </w:rPr>
        <w:t>的投诉和举报，并及时向秘书处报告。</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3.不干预评审</w:t>
      </w:r>
      <w:r>
        <w:rPr>
          <w:rFonts w:hint="eastAsia" w:ascii="仿宋_GB2312" w:eastAsia="仿宋_GB2312"/>
          <w:color w:val="000000" w:themeColor="text1"/>
          <w:sz w:val="32"/>
          <w:szCs w:val="32"/>
          <w:highlight w:val="none"/>
          <w:lang w:eastAsia="zh-CN"/>
          <w14:textFill>
            <w14:solidFill>
              <w14:schemeClr w14:val="tx1"/>
            </w14:solidFill>
          </w14:textFill>
        </w:rPr>
        <w:t>专家</w:t>
      </w:r>
      <w:r>
        <w:rPr>
          <w:rFonts w:hint="eastAsia" w:ascii="仿宋_GB2312" w:eastAsia="仿宋_GB2312"/>
          <w:color w:val="000000" w:themeColor="text1"/>
          <w:sz w:val="32"/>
          <w:szCs w:val="32"/>
          <w:highlight w:val="none"/>
          <w14:textFill>
            <w14:solidFill>
              <w14:schemeClr w14:val="tx1"/>
            </w14:solidFill>
          </w14:textFill>
        </w:rPr>
        <w:t>的工作，不传播危及评审公正性的信息，不泄露任何评审信息。</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4.在评审监督工作中应当坚持原则，实事求是，廉洁自律。不得接受评审企业的好处，不得向评审</w:t>
      </w:r>
      <w:r>
        <w:rPr>
          <w:rFonts w:hint="eastAsia" w:ascii="仿宋_GB2312" w:eastAsia="仿宋_GB2312"/>
          <w:color w:val="000000" w:themeColor="text1"/>
          <w:sz w:val="32"/>
          <w:szCs w:val="32"/>
          <w:highlight w:val="none"/>
          <w:lang w:eastAsia="zh-CN"/>
          <w14:textFill>
            <w14:solidFill>
              <w14:schemeClr w14:val="tx1"/>
            </w14:solidFill>
          </w14:textFill>
        </w:rPr>
        <w:t>专家</w:t>
      </w:r>
      <w:r>
        <w:rPr>
          <w:rFonts w:hint="eastAsia" w:ascii="仿宋_GB2312" w:eastAsia="仿宋_GB2312"/>
          <w:color w:val="000000" w:themeColor="text1"/>
          <w:sz w:val="32"/>
          <w:szCs w:val="32"/>
          <w:highlight w:val="none"/>
          <w14:textFill>
            <w14:solidFill>
              <w14:schemeClr w14:val="tx1"/>
            </w14:solidFill>
          </w14:textFill>
        </w:rPr>
        <w:t>或评审企业提出利益诉求。</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lang w:val="en-US" w:eastAsia="zh-CN"/>
          <w14:textFill>
            <w14:solidFill>
              <w14:schemeClr w14:val="tx1"/>
            </w14:solidFill>
          </w14:textFill>
        </w:rPr>
        <w:t>5</w:t>
      </w:r>
      <w:r>
        <w:rPr>
          <w:rFonts w:hint="eastAsia" w:ascii="仿宋_GB2312" w:eastAsia="仿宋_GB2312"/>
          <w:color w:val="000000" w:themeColor="text1"/>
          <w:sz w:val="32"/>
          <w:szCs w:val="32"/>
          <w:highlight w:val="none"/>
          <w14:textFill>
            <w14:solidFill>
              <w14:schemeClr w14:val="tx1"/>
            </w14:solidFill>
          </w14:textFill>
        </w:rPr>
        <w:t>.督促</w:t>
      </w:r>
      <w:r>
        <w:rPr>
          <w:rFonts w:hint="eastAsia" w:ascii="仿宋_GB2312" w:eastAsia="仿宋_GB2312"/>
          <w:color w:val="000000" w:themeColor="text1"/>
          <w:sz w:val="32"/>
          <w:szCs w:val="32"/>
          <w:highlight w:val="none"/>
          <w:lang w:val="en-US" w:eastAsia="zh-CN"/>
          <w14:textFill>
            <w14:solidFill>
              <w14:schemeClr w14:val="tx1"/>
            </w14:solidFill>
          </w14:textFill>
        </w:rPr>
        <w:t>组织</w:t>
      </w:r>
      <w:r>
        <w:rPr>
          <w:rFonts w:hint="eastAsia" w:ascii="仿宋_GB2312" w:eastAsia="仿宋_GB2312"/>
          <w:color w:val="000000" w:themeColor="text1"/>
          <w:sz w:val="32"/>
          <w:szCs w:val="32"/>
          <w:highlight w:val="none"/>
          <w14:textFill>
            <w14:solidFill>
              <w14:schemeClr w14:val="tx1"/>
            </w14:solidFill>
          </w14:textFill>
        </w:rPr>
        <w:t>在现场评审结束后如实填写《顺德政府质量奖评审纪律情况反馈表》并寄送至秘书处。</w:t>
      </w:r>
    </w:p>
    <w:p>
      <w:pPr>
        <w:widowControl w:val="0"/>
        <w:spacing w:line="560" w:lineRule="exact"/>
        <w:ind w:firstLine="640" w:firstLineChars="200"/>
        <w:rPr>
          <w:rFonts w:ascii="黑体" w:eastAsia="黑体"/>
          <w:color w:val="000000" w:themeColor="text1"/>
          <w:sz w:val="32"/>
          <w:szCs w:val="32"/>
          <w:highlight w:val="none"/>
          <w14:textFill>
            <w14:solidFill>
              <w14:schemeClr w14:val="tx1"/>
            </w14:solidFill>
          </w14:textFill>
        </w:rPr>
      </w:pPr>
      <w:r>
        <w:rPr>
          <w:rFonts w:hint="eastAsia" w:ascii="黑体" w:eastAsia="黑体"/>
          <w:color w:val="000000" w:themeColor="text1"/>
          <w:sz w:val="32"/>
          <w:szCs w:val="32"/>
          <w:highlight w:val="none"/>
          <w:lang w:eastAsia="zh-CN"/>
          <w14:textFill>
            <w14:solidFill>
              <w14:schemeClr w14:val="tx1"/>
            </w14:solidFill>
          </w14:textFill>
        </w:rPr>
        <w:t>九</w:t>
      </w:r>
      <w:r>
        <w:rPr>
          <w:rFonts w:hint="eastAsia" w:ascii="黑体" w:eastAsia="黑体"/>
          <w:color w:val="000000" w:themeColor="text1"/>
          <w:sz w:val="32"/>
          <w:szCs w:val="32"/>
          <w:highlight w:val="none"/>
          <w14:textFill>
            <w14:solidFill>
              <w14:schemeClr w14:val="tx1"/>
            </w14:solidFill>
          </w14:textFill>
        </w:rPr>
        <w:t>、</w:t>
      </w:r>
      <w:r>
        <w:rPr>
          <w:rFonts w:hint="eastAsia" w:ascii="黑体" w:hAnsi="黑体" w:eastAsia="黑体"/>
          <w:color w:val="000000" w:themeColor="text1"/>
          <w:sz w:val="32"/>
          <w:szCs w:val="32"/>
          <w:highlight w:val="none"/>
          <w14:textFill>
            <w14:solidFill>
              <w14:schemeClr w14:val="tx1"/>
            </w14:solidFill>
          </w14:textFill>
        </w:rPr>
        <w:t>评审过程有关文书材料</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评审用表格、报告和记录等由秘书处统一制订和修订，并可根据实际做补充修改。有关评审过程中的表格、报告和记录等由秘书处保存。</w:t>
      </w:r>
    </w:p>
    <w:p>
      <w:pPr>
        <w:widowControl w:val="0"/>
        <w:spacing w:line="560" w:lineRule="exact"/>
        <w:ind w:firstLine="640" w:firstLineChars="200"/>
        <w:rPr>
          <w:rFonts w:ascii="黑体" w:eastAsia="黑体"/>
          <w:color w:val="000000" w:themeColor="text1"/>
          <w:sz w:val="32"/>
          <w:szCs w:val="32"/>
          <w:highlight w:val="none"/>
          <w14:textFill>
            <w14:solidFill>
              <w14:schemeClr w14:val="tx1"/>
            </w14:solidFill>
          </w14:textFill>
        </w:rPr>
      </w:pPr>
      <w:r>
        <w:rPr>
          <w:rFonts w:hint="eastAsia" w:ascii="黑体" w:eastAsia="黑体"/>
          <w:color w:val="000000" w:themeColor="text1"/>
          <w:sz w:val="32"/>
          <w:szCs w:val="32"/>
          <w:highlight w:val="none"/>
          <w:lang w:eastAsia="zh-CN"/>
          <w14:textFill>
            <w14:solidFill>
              <w14:schemeClr w14:val="tx1"/>
            </w14:solidFill>
          </w14:textFill>
        </w:rPr>
        <w:t>十</w:t>
      </w:r>
      <w:r>
        <w:rPr>
          <w:rFonts w:hint="eastAsia" w:ascii="黑体" w:eastAsia="黑体"/>
          <w:color w:val="000000" w:themeColor="text1"/>
          <w:sz w:val="32"/>
          <w:szCs w:val="32"/>
          <w:highlight w:val="none"/>
          <w14:textFill>
            <w14:solidFill>
              <w14:schemeClr w14:val="tx1"/>
            </w14:solidFill>
          </w14:textFill>
        </w:rPr>
        <w:t>、附则</w:t>
      </w:r>
    </w:p>
    <w:p>
      <w:pPr>
        <w:widowControl w:val="0"/>
        <w:spacing w:line="560" w:lineRule="exact"/>
        <w:ind w:firstLine="640" w:firstLineChars="200"/>
        <w:rPr>
          <w:rFonts w:ascii="仿宋_GB2312" w:eastAsia="仿宋_GB2312"/>
          <w:color w:val="000000" w:themeColor="text1"/>
          <w:sz w:val="32"/>
          <w:szCs w:val="32"/>
          <w:highlight w:val="none"/>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本评审细则，自评委会审议通过之日起实行。</w:t>
      </w:r>
    </w:p>
    <w:p>
      <w:pPr>
        <w:widowControl w:val="0"/>
        <w:spacing w:line="560" w:lineRule="exact"/>
        <w:ind w:firstLine="640" w:firstLineChars="200"/>
        <w:rPr>
          <w:rFonts w:hint="eastAsia" w:ascii="仿宋_GB2312" w:eastAsia="仿宋_GB2312"/>
          <w:color w:val="000000" w:themeColor="text1"/>
          <w:sz w:val="32"/>
          <w:szCs w:val="32"/>
          <w:highlight w:val="none"/>
          <w14:textFill>
            <w14:solidFill>
              <w14:schemeClr w14:val="tx1"/>
            </w14:solidFill>
          </w14:textFill>
        </w:rPr>
      </w:pPr>
    </w:p>
    <w:p>
      <w:pPr>
        <w:spacing w:line="560" w:lineRule="exact"/>
        <w:ind w:firstLine="640" w:firstLineChars="200"/>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附件：1．《卓越绩效评价准则》（GB/T19580最新版）；</w:t>
      </w:r>
    </w:p>
    <w:p>
      <w:pPr>
        <w:spacing w:line="560" w:lineRule="exact"/>
        <w:ind w:left="1558" w:leftChars="487" w:firstLine="38" w:firstLineChars="12"/>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2．《卓越绩效评价标准实施指南》（GB/T195</w:t>
      </w:r>
      <w:r>
        <w:rPr>
          <w:rFonts w:hint="eastAsia" w:ascii="仿宋_GB2312" w:hAnsi="仿宋_GB2312" w:cs="仿宋_GB2312"/>
          <w:color w:val="000000" w:themeColor="text1"/>
          <w:szCs w:val="32"/>
          <w:highlight w:val="none"/>
          <w:lang w:val="en-US" w:eastAsia="zh-CN"/>
          <w14:textFill>
            <w14:solidFill>
              <w14:schemeClr w14:val="tx1"/>
            </w14:solidFill>
          </w14:textFill>
        </w:rPr>
        <w:t>79</w:t>
      </w:r>
      <w:r>
        <w:rPr>
          <w:rFonts w:hint="eastAsia" w:ascii="仿宋_GB2312" w:hAnsi="仿宋_GB2312" w:eastAsia="仿宋_GB2312" w:cs="仿宋_GB2312"/>
          <w:color w:val="000000" w:themeColor="text1"/>
          <w:szCs w:val="32"/>
          <w:highlight w:val="none"/>
          <w14:textFill>
            <w14:solidFill>
              <w14:schemeClr w14:val="tx1"/>
            </w14:solidFill>
          </w14:textFill>
        </w:rPr>
        <w:t>最新版）；</w:t>
      </w:r>
    </w:p>
    <w:p>
      <w:pPr>
        <w:spacing w:line="560" w:lineRule="exact"/>
        <w:ind w:left="1558" w:leftChars="487" w:firstLine="38" w:firstLineChars="12"/>
        <w:rPr>
          <w:rFonts w:hint="eastAsia" w:ascii="仿宋_GB2312" w:hAnsi="仿宋_GB2312" w:eastAsia="仿宋_GB2312" w:cs="仿宋_GB2312"/>
          <w:color w:val="000000" w:themeColor="text1"/>
          <w:szCs w:val="32"/>
          <w:highlight w:val="none"/>
          <w14:textFill>
            <w14:solidFill>
              <w14:schemeClr w14:val="tx1"/>
            </w14:solidFill>
          </w14:textFill>
        </w:rPr>
      </w:pPr>
      <w:r>
        <w:rPr>
          <w:rFonts w:hint="eastAsia" w:ascii="仿宋_GB2312" w:hAnsi="仿宋_GB2312" w:eastAsia="仿宋_GB2312" w:cs="仿宋_GB2312"/>
          <w:color w:val="000000" w:themeColor="text1"/>
          <w:szCs w:val="32"/>
          <w:highlight w:val="none"/>
          <w14:textFill>
            <w14:solidFill>
              <w14:schemeClr w14:val="tx1"/>
            </w14:solidFill>
          </w14:textFill>
        </w:rPr>
        <w:t>3.</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w:t>
      </w:r>
      <w:r>
        <w:rPr>
          <w:rFonts w:hint="eastAsia" w:ascii="Times New Roman" w:hAnsi="Times New Roman" w:eastAsia="仿宋_GB2312" w:cs="仿宋_GB2312"/>
          <w:color w:val="000000" w:themeColor="text1"/>
          <w:sz w:val="32"/>
          <w:szCs w:val="32"/>
          <w:highlight w:val="none"/>
          <w:lang w:val="en-US" w:eastAsia="zh-CN"/>
          <w14:textFill>
            <w14:solidFill>
              <w14:schemeClr w14:val="tx1"/>
            </w14:solidFill>
          </w14:textFill>
        </w:rPr>
        <w:t>广东省政府质量奖评分要点（一线班组）</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w:t>
      </w:r>
      <w:r>
        <w:rPr>
          <w:rFonts w:hint="eastAsia" w:ascii="仿宋_GB2312" w:hAnsi="仿宋_GB2312" w:eastAsia="仿宋_GB2312" w:cs="仿宋_GB2312"/>
          <w:color w:val="000000" w:themeColor="text1"/>
          <w:szCs w:val="32"/>
          <w:highlight w:val="none"/>
          <w14:textFill>
            <w14:solidFill>
              <w14:schemeClr w14:val="tx1"/>
            </w14:solidFill>
          </w14:textFill>
        </w:rPr>
        <w:t>。</w:t>
      </w:r>
    </w:p>
    <w:p>
      <w:pPr>
        <w:spacing w:line="560" w:lineRule="exact"/>
        <w:rPr>
          <w:rFonts w:hint="eastAsia" w:ascii="仿宋_GB2312" w:hAnsi="仿宋_GB2312" w:eastAsia="仿宋_GB2312" w:cs="仿宋_GB2312"/>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p>
    <w:p>
      <w:pPr>
        <w:spacing w:line="600" w:lineRule="exact"/>
        <w:rPr>
          <w:rFonts w:ascii="Times New Roman" w:hAnsi="Times New Roman" w:eastAsia="黑体" w:cs="Times New Roman"/>
          <w:szCs w:val="32"/>
        </w:rPr>
      </w:pPr>
      <w:bookmarkStart w:id="3" w:name="_GoBack"/>
      <w:bookmarkEnd w:id="3"/>
    </w:p>
    <w:p>
      <w:pPr>
        <w:spacing w:line="600" w:lineRule="exact"/>
        <w:rPr>
          <w:rFonts w:ascii="Times New Roman" w:hAnsi="Times New Roman" w:eastAsia="黑体" w:cs="Times New Roman"/>
          <w:szCs w:val="32"/>
        </w:rPr>
      </w:pPr>
      <w:r>
        <w:rPr>
          <w:rFonts w:ascii="Times New Roman" w:hAnsi="Times New Roman" w:eastAsia="黑体" w:cs="Times New Roman"/>
          <w:szCs w:val="32"/>
        </w:rPr>
        <w:t>附件1</w:t>
      </w:r>
    </w:p>
    <w:p>
      <w:pPr>
        <w:rPr>
          <w:rFonts w:ascii="仿宋" w:hAnsi="仿宋" w:eastAsia="仿宋" w:cs="仿宋"/>
          <w:szCs w:val="32"/>
        </w:rPr>
      </w:pPr>
      <w:r>
        <w:rPr>
          <w:rFonts w:hint="eastAsia" w:ascii="仿宋" w:hAnsi="仿宋" w:eastAsia="仿宋" w:cs="仿宋"/>
          <w:szCs w:val="32"/>
        </w:rPr>
        <w:drawing>
          <wp:inline distT="0" distB="0" distL="114300" distR="114300">
            <wp:extent cx="5648325" cy="7561580"/>
            <wp:effectExtent l="0" t="0" r="9525" b="1270"/>
            <wp:docPr id="9" name="图片 1" descr="附件1中附件1GB_T+19580-201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附件1中附件1GB_T+19580-2012_1"/>
                    <pic:cNvPicPr>
                      <a:picLocks noChangeAspect="1"/>
                    </pic:cNvPicPr>
                  </pic:nvPicPr>
                  <pic:blipFill>
                    <a:blip r:embed="rId8"/>
                    <a:stretch>
                      <a:fillRect/>
                    </a:stretch>
                  </pic:blipFill>
                  <pic:spPr>
                    <a:xfrm>
                      <a:off x="0" y="0"/>
                      <a:ext cx="5648325" cy="756158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6158230" cy="7832725"/>
            <wp:effectExtent l="0" t="0" r="13970" b="15875"/>
            <wp:docPr id="3" name="图片 2" descr="附件1中附件1GB_T+19580-201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附件1中附件1GB_T+19580-2012_2"/>
                    <pic:cNvPicPr>
                      <a:picLocks noChangeAspect="1"/>
                    </pic:cNvPicPr>
                  </pic:nvPicPr>
                  <pic:blipFill>
                    <a:blip r:embed="rId9"/>
                    <a:stretch>
                      <a:fillRect/>
                    </a:stretch>
                  </pic:blipFill>
                  <pic:spPr>
                    <a:xfrm>
                      <a:off x="0" y="0"/>
                      <a:ext cx="6158230" cy="7832725"/>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50230" cy="7903845"/>
            <wp:effectExtent l="0" t="0" r="7620" b="1905"/>
            <wp:docPr id="2" name="图片 3" descr="附件1中附件1GB_T+19580-201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附件1中附件1GB_T+19580-2012_3"/>
                    <pic:cNvPicPr>
                      <a:picLocks noChangeAspect="1"/>
                    </pic:cNvPicPr>
                  </pic:nvPicPr>
                  <pic:blipFill>
                    <a:blip r:embed="rId10"/>
                    <a:stretch>
                      <a:fillRect/>
                    </a:stretch>
                  </pic:blipFill>
                  <pic:spPr>
                    <a:xfrm>
                      <a:off x="0" y="0"/>
                      <a:ext cx="5650230" cy="7903845"/>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50230" cy="7927340"/>
            <wp:effectExtent l="0" t="0" r="7620" b="16510"/>
            <wp:docPr id="6" name="图片 4" descr="附件1中附件1GB_T+19580-201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附件1中附件1GB_T+19580-2012_4"/>
                    <pic:cNvPicPr>
                      <a:picLocks noChangeAspect="1"/>
                    </pic:cNvPicPr>
                  </pic:nvPicPr>
                  <pic:blipFill>
                    <a:blip r:embed="rId11"/>
                    <a:stretch>
                      <a:fillRect/>
                    </a:stretch>
                  </pic:blipFill>
                  <pic:spPr>
                    <a:xfrm>
                      <a:off x="0" y="0"/>
                      <a:ext cx="5650230" cy="792734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7055" cy="7920355"/>
            <wp:effectExtent l="0" t="0" r="10795" b="4445"/>
            <wp:docPr id="5" name="图片 5" descr="附件1中附件1GB_T+19580-2012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附件1中附件1GB_T+19580-2012_5"/>
                    <pic:cNvPicPr>
                      <a:picLocks noChangeAspect="1"/>
                    </pic:cNvPicPr>
                  </pic:nvPicPr>
                  <pic:blipFill>
                    <a:blip r:embed="rId12"/>
                    <a:stretch>
                      <a:fillRect/>
                    </a:stretch>
                  </pic:blipFill>
                  <pic:spPr>
                    <a:xfrm>
                      <a:off x="0" y="0"/>
                      <a:ext cx="5647055" cy="7920355"/>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9595" cy="7910195"/>
            <wp:effectExtent l="0" t="0" r="8255" b="14605"/>
            <wp:docPr id="4" name="图片 6" descr="附件1中附件1GB_T+19580-2012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descr="附件1中附件1GB_T+19580-2012_6"/>
                    <pic:cNvPicPr>
                      <a:picLocks noChangeAspect="1"/>
                    </pic:cNvPicPr>
                  </pic:nvPicPr>
                  <pic:blipFill>
                    <a:blip r:embed="rId13"/>
                    <a:stretch>
                      <a:fillRect/>
                    </a:stretch>
                  </pic:blipFill>
                  <pic:spPr>
                    <a:xfrm>
                      <a:off x="0" y="0"/>
                      <a:ext cx="5649595" cy="7910195"/>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9595" cy="8023860"/>
            <wp:effectExtent l="0" t="0" r="8255" b="15240"/>
            <wp:docPr id="7" name="图片 7" descr="附件1中附件1GB_T+19580-2012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附件1中附件1GB_T+19580-2012_7"/>
                    <pic:cNvPicPr>
                      <a:picLocks noChangeAspect="1"/>
                    </pic:cNvPicPr>
                  </pic:nvPicPr>
                  <pic:blipFill>
                    <a:blip r:embed="rId14"/>
                    <a:stretch>
                      <a:fillRect/>
                    </a:stretch>
                  </pic:blipFill>
                  <pic:spPr>
                    <a:xfrm>
                      <a:off x="0" y="0"/>
                      <a:ext cx="5649595" cy="802386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51500" cy="7818120"/>
            <wp:effectExtent l="0" t="0" r="6350" b="11430"/>
            <wp:docPr id="1" name="图片 8" descr="附件1中附件1GB_T+19580-2012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 descr="附件1中附件1GB_T+19580-2012_8"/>
                    <pic:cNvPicPr>
                      <a:picLocks noChangeAspect="1"/>
                    </pic:cNvPicPr>
                  </pic:nvPicPr>
                  <pic:blipFill>
                    <a:blip r:embed="rId15"/>
                    <a:stretch>
                      <a:fillRect/>
                    </a:stretch>
                  </pic:blipFill>
                  <pic:spPr>
                    <a:xfrm>
                      <a:off x="0" y="0"/>
                      <a:ext cx="5651500" cy="781812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9595" cy="7913370"/>
            <wp:effectExtent l="0" t="0" r="8255" b="11430"/>
            <wp:docPr id="8" name="图片 9" descr="附件1中附件1GB_T+19580-2012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descr="附件1中附件1GB_T+19580-2012_9"/>
                    <pic:cNvPicPr>
                      <a:picLocks noChangeAspect="1"/>
                    </pic:cNvPicPr>
                  </pic:nvPicPr>
                  <pic:blipFill>
                    <a:blip r:embed="rId16"/>
                    <a:stretch>
                      <a:fillRect/>
                    </a:stretch>
                  </pic:blipFill>
                  <pic:spPr>
                    <a:xfrm>
                      <a:off x="0" y="0"/>
                      <a:ext cx="5649595" cy="791337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51500" cy="7703185"/>
            <wp:effectExtent l="0" t="0" r="6350" b="12065"/>
            <wp:docPr id="10" name="图片 10" descr="附件1中附件1GB_T+19580-2012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附件1中附件1GB_T+19580-2012_10"/>
                    <pic:cNvPicPr>
                      <a:picLocks noChangeAspect="1"/>
                    </pic:cNvPicPr>
                  </pic:nvPicPr>
                  <pic:blipFill>
                    <a:blip r:embed="rId17"/>
                    <a:stretch>
                      <a:fillRect/>
                    </a:stretch>
                  </pic:blipFill>
                  <pic:spPr>
                    <a:xfrm>
                      <a:off x="0" y="0"/>
                      <a:ext cx="5651500" cy="7703185"/>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7055" cy="7874000"/>
            <wp:effectExtent l="0" t="0" r="10795" b="12700"/>
            <wp:docPr id="11" name="图片 11" descr="附件1中附件1GB_T+19580-2012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附件1中附件1GB_T+19580-2012_11"/>
                    <pic:cNvPicPr>
                      <a:picLocks noChangeAspect="1"/>
                    </pic:cNvPicPr>
                  </pic:nvPicPr>
                  <pic:blipFill>
                    <a:blip r:embed="rId18"/>
                    <a:stretch>
                      <a:fillRect/>
                    </a:stretch>
                  </pic:blipFill>
                  <pic:spPr>
                    <a:xfrm>
                      <a:off x="0" y="0"/>
                      <a:ext cx="5647055" cy="787400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51500" cy="8115300"/>
            <wp:effectExtent l="0" t="0" r="6350" b="0"/>
            <wp:docPr id="12" name="图片 12" descr="附件1中附件1GB_T+19580-2012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附件1中附件1GB_T+19580-2012_12"/>
                    <pic:cNvPicPr>
                      <a:picLocks noChangeAspect="1"/>
                    </pic:cNvPicPr>
                  </pic:nvPicPr>
                  <pic:blipFill>
                    <a:blip r:embed="rId19"/>
                    <a:stretch>
                      <a:fillRect/>
                    </a:stretch>
                  </pic:blipFill>
                  <pic:spPr>
                    <a:xfrm>
                      <a:off x="0" y="0"/>
                      <a:ext cx="5651500" cy="811530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7055" cy="7785100"/>
            <wp:effectExtent l="0" t="0" r="10795" b="6350"/>
            <wp:docPr id="13" name="图片 13" descr="附件1中附件1GB_T+19580-2012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附件1中附件1GB_T+19580-2012_13"/>
                    <pic:cNvPicPr>
                      <a:picLocks noChangeAspect="1"/>
                    </pic:cNvPicPr>
                  </pic:nvPicPr>
                  <pic:blipFill>
                    <a:blip r:embed="rId20"/>
                    <a:stretch>
                      <a:fillRect/>
                    </a:stretch>
                  </pic:blipFill>
                  <pic:spPr>
                    <a:xfrm>
                      <a:off x="0" y="0"/>
                      <a:ext cx="5647055" cy="778510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7055" cy="7875905"/>
            <wp:effectExtent l="0" t="0" r="10795" b="10795"/>
            <wp:docPr id="14" name="图片 14" descr="附件1中附件1GB_T+19580-2012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附件1中附件1GB_T+19580-2012_14"/>
                    <pic:cNvPicPr>
                      <a:picLocks noChangeAspect="1"/>
                    </pic:cNvPicPr>
                  </pic:nvPicPr>
                  <pic:blipFill>
                    <a:blip r:embed="rId21"/>
                    <a:stretch>
                      <a:fillRect/>
                    </a:stretch>
                  </pic:blipFill>
                  <pic:spPr>
                    <a:xfrm>
                      <a:off x="0" y="0"/>
                      <a:ext cx="5647055" cy="7875905"/>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7055" cy="7697470"/>
            <wp:effectExtent l="0" t="0" r="10795" b="17780"/>
            <wp:docPr id="15" name="图片 15" descr="附件1中附件1GB_T+19580-2012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附件1中附件1GB_T+19580-2012_15"/>
                    <pic:cNvPicPr>
                      <a:picLocks noChangeAspect="1"/>
                    </pic:cNvPicPr>
                  </pic:nvPicPr>
                  <pic:blipFill>
                    <a:blip r:embed="rId22"/>
                    <a:stretch>
                      <a:fillRect/>
                    </a:stretch>
                  </pic:blipFill>
                  <pic:spPr>
                    <a:xfrm>
                      <a:off x="0" y="0"/>
                      <a:ext cx="5647055" cy="7697470"/>
                    </a:xfrm>
                    <a:prstGeom prst="rect">
                      <a:avLst/>
                    </a:prstGeom>
                    <a:solidFill>
                      <a:srgbClr val="FFFFFF"/>
                    </a:solidFill>
                    <a:ln w="9525">
                      <a:noFill/>
                    </a:ln>
                  </pic:spPr>
                </pic:pic>
              </a:graphicData>
            </a:graphic>
          </wp:inline>
        </w:drawing>
      </w:r>
      <w:r>
        <w:rPr>
          <w:rFonts w:hint="eastAsia" w:ascii="仿宋" w:hAnsi="仿宋" w:eastAsia="仿宋" w:cs="仿宋"/>
          <w:szCs w:val="32"/>
        </w:rPr>
        <w:drawing>
          <wp:inline distT="0" distB="0" distL="114300" distR="114300">
            <wp:extent cx="5648325" cy="7572375"/>
            <wp:effectExtent l="0" t="0" r="9525" b="9525"/>
            <wp:docPr id="16" name="图片 16" descr="附件1中附件1GB_T+19580-2012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附件1中附件1GB_T+19580-2012_16"/>
                    <pic:cNvPicPr>
                      <a:picLocks noChangeAspect="1"/>
                    </pic:cNvPicPr>
                  </pic:nvPicPr>
                  <pic:blipFill>
                    <a:blip r:embed="rId23"/>
                    <a:stretch>
                      <a:fillRect/>
                    </a:stretch>
                  </pic:blipFill>
                  <pic:spPr>
                    <a:xfrm>
                      <a:off x="0" y="0"/>
                      <a:ext cx="5648325" cy="7572375"/>
                    </a:xfrm>
                    <a:prstGeom prst="rect">
                      <a:avLst/>
                    </a:prstGeom>
                    <a:solidFill>
                      <a:srgbClr val="FFFFFF"/>
                    </a:solidFill>
                    <a:ln w="9525">
                      <a:noFill/>
                    </a:ln>
                  </pic:spPr>
                </pic:pic>
              </a:graphicData>
            </a:graphic>
          </wp:inline>
        </w:drawing>
      </w:r>
    </w:p>
    <w:p>
      <w:pPr>
        <w:rPr>
          <w:rFonts w:ascii="仿宋" w:hAnsi="仿宋" w:eastAsia="仿宋" w:cs="仿宋"/>
          <w:szCs w:val="32"/>
        </w:rPr>
      </w:pPr>
    </w:p>
    <w:p>
      <w:pPr>
        <w:rPr>
          <w:rFonts w:ascii="仿宋" w:hAnsi="仿宋" w:eastAsia="仿宋" w:cs="仿宋"/>
          <w:szCs w:val="32"/>
        </w:rPr>
      </w:pPr>
    </w:p>
    <w:p>
      <w:pPr>
        <w:spacing w:line="600" w:lineRule="exact"/>
        <w:rPr>
          <w:rFonts w:ascii="Times New Roman" w:hAnsi="Times New Roman" w:eastAsia="黑体" w:cs="Times New Roman"/>
          <w:szCs w:val="32"/>
        </w:rPr>
      </w:pPr>
      <w:r>
        <w:rPr>
          <w:rFonts w:ascii="Times New Roman" w:hAnsi="Times New Roman" w:eastAsia="黑体" w:cs="Times New Roman"/>
          <w:szCs w:val="32"/>
        </w:rPr>
        <w:t>附件2</w:t>
      </w:r>
    </w:p>
    <w:p>
      <w:r>
        <w:drawing>
          <wp:inline distT="0" distB="0" distL="0" distR="0">
            <wp:extent cx="5274310" cy="7459345"/>
            <wp:effectExtent l="0" t="0" r="2540" b="8255"/>
            <wp:docPr id="29" name="图片 29"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手机屏幕截图&#10;&#10;描述已自动生成"/>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0" name="图片 30"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表格&#10;&#10;描述已自动生成"/>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1" name="图片 31"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文本, 信件&#10;&#10;描述已自动生成"/>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2" name="图片 32"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文本, 信件&#10;&#10;描述已自动生成"/>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3" name="图片 33"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文本, 信件&#10;&#10;描述已自动生成"/>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4" name="图片 34"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文本, 信件&#10;&#10;描述已自动生成"/>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5" name="图片 35"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文本, 信件&#10;&#10;描述已自动生成"/>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6" name="图片 36"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文本, 信件&#10;&#10;描述已自动生成"/>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7" name="图片 37"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文本, 信件&#10;&#10;描述已自动生成"/>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8" name="图片 38"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文本, 信件&#10;&#10;描述已自动生成"/>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39" name="图片 39"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文本, 信件&#10;&#10;描述已自动生成"/>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0" name="图片 40"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文本, 信件&#10;&#10;描述已自动生成"/>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1" name="图片 41"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文本, 信件&#10;&#10;描述已自动生成"/>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2" name="图片 42"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文本, 信件&#10;&#10;描述已自动生成"/>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3" name="图片 43"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文本, 信件&#10;&#10;描述已自动生成"/>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4" name="图片 44"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文本, 信件&#10;&#10;描述已自动生成"/>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5" name="图片 45"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文本, 信件&#10;&#10;描述已自动生成"/>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6" name="图片 46"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文本, 信件&#10;&#10;描述已自动生成"/>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7" name="图片 47"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文本, 信件&#10;&#10;描述已自动生成"/>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8" name="图片 48"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文本, 信件&#10;&#10;描述已自动生成"/>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49" name="图片 4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图示&#10;&#10;描述已自动生成"/>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50" name="图片 50"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表格&#10;&#10;描述已自动生成"/>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51" name="图片 51"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文本, 信件&#10;&#10;描述已自动生成"/>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52" name="图片 52"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文本, 信件&#10;&#10;描述已自动生成"/>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53" name="图片 53"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手机屏幕截图&#10;&#10;描述已自动生成"/>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54" name="图片 54"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文本&#10;&#10;描述已自动生成"/>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55" name="图片 55"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文本&#10;&#10;描述已自动生成"/>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r>
        <w:drawing>
          <wp:inline distT="0" distB="0" distL="0" distR="0">
            <wp:extent cx="5274310" cy="7459345"/>
            <wp:effectExtent l="0" t="0" r="2540" b="8255"/>
            <wp:docPr id="56" name="图片 56"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文本, 信件&#10;&#10;描述已自动生成"/>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274310" cy="7459345"/>
                    </a:xfrm>
                    <a:prstGeom prst="rect">
                      <a:avLst/>
                    </a:prstGeom>
                  </pic:spPr>
                </pic:pic>
              </a:graphicData>
            </a:graphic>
          </wp:inline>
        </w:drawing>
      </w:r>
    </w:p>
    <w:p>
      <w:pPr>
        <w:tabs>
          <w:tab w:val="left" w:pos="2040"/>
        </w:tabs>
        <w:rPr>
          <w:rFonts w:hint="eastAsia" w:ascii="仿宋" w:hAnsi="仿宋" w:eastAsia="仿宋" w:cs="仿宋"/>
          <w:szCs w:val="32"/>
        </w:rPr>
        <w:sectPr>
          <w:footerReference r:id="rId6" w:type="first"/>
          <w:headerReference r:id="rId3" w:type="default"/>
          <w:footerReference r:id="rId4" w:type="default"/>
          <w:footerReference r:id="rId5" w:type="even"/>
          <w:pgSz w:w="11906" w:h="16838"/>
          <w:pgMar w:top="2098" w:right="1418" w:bottom="1531" w:left="1588" w:header="851" w:footer="1372" w:gutter="0"/>
          <w:pgNumType w:fmt="numberInDash"/>
          <w:cols w:space="720" w:num="1"/>
          <w:docGrid w:type="lines" w:linePitch="435" w:charSpace="0"/>
        </w:sectPr>
      </w:pPr>
    </w:p>
    <w:p>
      <w:pPr>
        <w:spacing w:line="480" w:lineRule="exact"/>
        <w:jc w:val="left"/>
        <w:rPr>
          <w:rFonts w:ascii="黑体" w:hAnsi="黑体" w:eastAsia="黑体" w:cs="黑体"/>
          <w:szCs w:val="32"/>
          <w:shd w:val="clear" w:color="auto" w:fill="FFFFFF"/>
        </w:rPr>
      </w:pPr>
      <w:r>
        <w:rPr>
          <w:rFonts w:hint="eastAsia" w:ascii="黑体" w:hAnsi="黑体" w:eastAsia="黑体" w:cs="黑体"/>
          <w:szCs w:val="32"/>
          <w:shd w:val="clear" w:color="auto" w:fill="FFFFFF"/>
        </w:rPr>
        <w:t>附件</w:t>
      </w:r>
      <w:r>
        <w:rPr>
          <w:rFonts w:ascii="黑体" w:hAnsi="黑体" w:eastAsia="黑体" w:cs="黑体"/>
          <w:szCs w:val="32"/>
          <w:shd w:val="clear" w:color="auto" w:fill="FFFFFF"/>
        </w:rPr>
        <w:t>3</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方正小标宋简体"/>
          <w:spacing w:val="0"/>
          <w:w w:val="100"/>
          <w:sz w:val="44"/>
          <w:szCs w:val="44"/>
          <w:lang w:val="en-US" w:eastAsia="zh-CN"/>
        </w:rPr>
      </w:pPr>
      <w:r>
        <w:rPr>
          <w:rFonts w:hint="eastAsia" w:ascii="Times New Roman" w:hAnsi="Times New Roman" w:eastAsia="方正小标宋简体" w:cs="方正小标宋简体"/>
          <w:spacing w:val="0"/>
          <w:w w:val="100"/>
          <w:sz w:val="44"/>
          <w:szCs w:val="44"/>
          <w:lang w:val="en-US" w:eastAsia="zh-CN"/>
        </w:rPr>
        <w:t>广东省政府质量奖评分要点（一线班组）</w:t>
      </w:r>
    </w:p>
    <w:tbl>
      <w:tblPr>
        <w:tblStyle w:val="8"/>
        <w:tblW w:w="15189" w:type="dxa"/>
        <w:tblInd w:w="-2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1"/>
        <w:gridCol w:w="1200"/>
        <w:gridCol w:w="1960"/>
        <w:gridCol w:w="9945"/>
        <w:gridCol w:w="1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restart"/>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eastAsia" w:ascii="黑体" w:hAnsi="黑体" w:eastAsia="黑体" w:cs="黑体"/>
                <w:spacing w:val="0"/>
                <w:w w:val="100"/>
                <w:sz w:val="21"/>
                <w:szCs w:val="21"/>
                <w:lang w:val="en-US" w:eastAsia="zh-CN"/>
              </w:rPr>
            </w:pPr>
            <w:r>
              <w:rPr>
                <w:rFonts w:hint="eastAsia" w:ascii="黑体" w:hAnsi="黑体" w:eastAsia="黑体" w:cs="黑体"/>
                <w:spacing w:val="0"/>
                <w:w w:val="100"/>
                <w:sz w:val="21"/>
                <w:szCs w:val="21"/>
                <w:lang w:val="en-US" w:eastAsia="zh-CN"/>
              </w:rPr>
              <w:t>序号</w:t>
            </w:r>
          </w:p>
        </w:tc>
        <w:tc>
          <w:tcPr>
            <w:tcW w:w="3160" w:type="dxa"/>
            <w:gridSpan w:val="2"/>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eastAsia" w:ascii="黑体" w:hAnsi="黑体" w:eastAsia="黑体" w:cs="黑体"/>
                <w:spacing w:val="0"/>
                <w:w w:val="100"/>
                <w:sz w:val="21"/>
                <w:szCs w:val="21"/>
                <w:lang w:val="en-US" w:eastAsia="zh-CN"/>
              </w:rPr>
            </w:pPr>
            <w:r>
              <w:rPr>
                <w:rFonts w:hint="eastAsia" w:ascii="黑体" w:hAnsi="黑体" w:eastAsia="黑体" w:cs="黑体"/>
                <w:spacing w:val="0"/>
                <w:w w:val="100"/>
                <w:sz w:val="21"/>
                <w:szCs w:val="21"/>
                <w:lang w:val="en-US" w:eastAsia="zh-CN"/>
              </w:rPr>
              <w:t>评价指标</w:t>
            </w:r>
          </w:p>
        </w:tc>
        <w:tc>
          <w:tcPr>
            <w:tcW w:w="9945" w:type="dxa"/>
            <w:vMerge w:val="restart"/>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eastAsia" w:ascii="黑体" w:hAnsi="黑体" w:eastAsia="黑体" w:cs="黑体"/>
                <w:spacing w:val="0"/>
                <w:w w:val="100"/>
                <w:sz w:val="21"/>
                <w:szCs w:val="21"/>
                <w:lang w:val="en-US" w:eastAsia="zh-CN"/>
              </w:rPr>
            </w:pPr>
            <w:r>
              <w:rPr>
                <w:rFonts w:hint="eastAsia" w:ascii="黑体" w:hAnsi="黑体" w:eastAsia="黑体" w:cs="黑体"/>
                <w:spacing w:val="0"/>
                <w:w w:val="100"/>
                <w:sz w:val="21"/>
                <w:szCs w:val="21"/>
                <w:lang w:val="en-US" w:eastAsia="zh-CN"/>
              </w:rPr>
              <w:t>评价要点</w:t>
            </w:r>
          </w:p>
        </w:tc>
        <w:tc>
          <w:tcPr>
            <w:tcW w:w="1263" w:type="dxa"/>
            <w:vMerge w:val="restart"/>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eastAsia" w:ascii="黑体" w:hAnsi="黑体" w:eastAsia="黑体" w:cs="黑体"/>
                <w:spacing w:val="0"/>
                <w:w w:val="100"/>
                <w:sz w:val="21"/>
                <w:szCs w:val="21"/>
                <w:lang w:val="en-US" w:eastAsia="zh-CN"/>
              </w:rPr>
            </w:pPr>
            <w:r>
              <w:rPr>
                <w:rFonts w:hint="eastAsia" w:ascii="黑体" w:hAnsi="黑体" w:eastAsia="黑体" w:cs="黑体"/>
                <w:spacing w:val="0"/>
                <w:w w:val="100"/>
                <w:sz w:val="21"/>
                <w:szCs w:val="21"/>
                <w:lang w:val="en-US" w:eastAsia="zh-CN"/>
              </w:rPr>
              <w:t>评分分值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rPr>
            </w:pPr>
          </w:p>
        </w:tc>
        <w:tc>
          <w:tcPr>
            <w:tcW w:w="1200"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eastAsia" w:ascii="黑体" w:hAnsi="黑体" w:eastAsia="黑体" w:cs="黑体"/>
                <w:spacing w:val="0"/>
                <w:w w:val="100"/>
                <w:sz w:val="21"/>
                <w:szCs w:val="21"/>
                <w:lang w:val="en-US" w:eastAsia="zh-CN"/>
              </w:rPr>
            </w:pPr>
            <w:r>
              <w:rPr>
                <w:rFonts w:hint="eastAsia" w:ascii="黑体" w:hAnsi="黑体" w:eastAsia="黑体" w:cs="黑体"/>
                <w:spacing w:val="0"/>
                <w:w w:val="100"/>
                <w:sz w:val="21"/>
                <w:szCs w:val="21"/>
                <w:lang w:val="en-US" w:eastAsia="zh-CN"/>
              </w:rPr>
              <w:t>一级</w:t>
            </w: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eastAsia" w:ascii="黑体" w:hAnsi="黑体" w:eastAsia="黑体" w:cs="黑体"/>
                <w:spacing w:val="0"/>
                <w:w w:val="100"/>
                <w:sz w:val="21"/>
                <w:szCs w:val="21"/>
                <w:lang w:val="en-US" w:eastAsia="zh-CN"/>
              </w:rPr>
            </w:pPr>
            <w:r>
              <w:rPr>
                <w:rFonts w:hint="eastAsia" w:ascii="黑体" w:hAnsi="黑体" w:eastAsia="黑体" w:cs="黑体"/>
                <w:spacing w:val="0"/>
                <w:w w:val="100"/>
                <w:sz w:val="21"/>
                <w:szCs w:val="21"/>
                <w:lang w:val="en-US" w:eastAsia="zh-CN"/>
              </w:rPr>
              <w:t>二级</w:t>
            </w:r>
          </w:p>
        </w:tc>
        <w:tc>
          <w:tcPr>
            <w:tcW w:w="9945" w:type="dxa"/>
            <w:vMerge w:val="continue"/>
            <w:vAlign w:val="top"/>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263" w:type="dxa"/>
            <w:vMerge w:val="continue"/>
            <w:vAlign w:val="top"/>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firstLine="0" w:firstLineChars="0"/>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w:t>
            </w:r>
          </w:p>
        </w:tc>
        <w:tc>
          <w:tcPr>
            <w:tcW w:w="1200" w:type="dxa"/>
            <w:vMerge w:val="restart"/>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班组</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建设</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150分</w:t>
            </w: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1.1组织机构</w:t>
            </w:r>
          </w:p>
        </w:tc>
        <w:tc>
          <w:tcPr>
            <w:tcW w:w="9945" w:type="dxa"/>
            <w:vAlign w:val="top"/>
          </w:tcPr>
          <w:p>
            <w:pPr>
              <w:keepNext w:val="0"/>
              <w:keepLines w:val="0"/>
              <w:pageBreakBefore w:val="0"/>
              <w:widowControl w:val="0"/>
              <w:numPr>
                <w:ilvl w:val="0"/>
                <w:numId w:val="1"/>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如何根据组织管理方式及人力资源状况，合理设置班组、岗位，加强班组建设与管理，以提高班组的执行力。</w:t>
            </w:r>
          </w:p>
          <w:p>
            <w:pPr>
              <w:keepNext w:val="0"/>
              <w:keepLines w:val="0"/>
              <w:pageBreakBefore w:val="0"/>
              <w:widowControl w:val="0"/>
              <w:numPr>
                <w:ilvl w:val="0"/>
                <w:numId w:val="1"/>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kern w:val="2"/>
                <w:sz w:val="21"/>
                <w:szCs w:val="21"/>
                <w:vertAlign w:val="baseline"/>
                <w:lang w:val="en-US" w:eastAsia="zh-CN" w:bidi="ar-SA"/>
              </w:rPr>
            </w:pPr>
            <w:r>
              <w:rPr>
                <w:rFonts w:hint="default" w:ascii="Times New Roman" w:hAnsi="Times New Roman" w:eastAsia="宋体" w:cs="Times New Roman"/>
                <w:spacing w:val="0"/>
                <w:w w:val="100"/>
                <w:sz w:val="21"/>
                <w:szCs w:val="21"/>
                <w:lang w:val="en-US" w:eastAsia="zh-CN"/>
              </w:rPr>
              <w:t>如何定期对班组建设与绩效情况进行评价考核及奖励。</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top"/>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1.2文化理念</w:t>
            </w:r>
          </w:p>
        </w:tc>
        <w:tc>
          <w:tcPr>
            <w:tcW w:w="9945" w:type="dxa"/>
            <w:vAlign w:val="top"/>
          </w:tcPr>
          <w:p>
            <w:pPr>
              <w:keepNext w:val="0"/>
              <w:keepLines w:val="0"/>
              <w:pageBreakBefore w:val="0"/>
              <w:widowControl w:val="0"/>
              <w:numPr>
                <w:ilvl w:val="0"/>
                <w:numId w:val="2"/>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如何清晰界定班组使命，培育班组特色文化，并结合班组实际，提出班组愿景和宣传口号，开展班组文化建设活动。</w:t>
            </w:r>
          </w:p>
          <w:p>
            <w:pPr>
              <w:keepNext w:val="0"/>
              <w:keepLines w:val="0"/>
              <w:pageBreakBefore w:val="0"/>
              <w:widowControl w:val="0"/>
              <w:numPr>
                <w:ilvl w:val="0"/>
                <w:numId w:val="2"/>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如何营造风清气正、积极进取、健康和谐的良好班风，以增强班组使命感和责任感。</w:t>
            </w:r>
          </w:p>
          <w:p>
            <w:pPr>
              <w:keepNext w:val="0"/>
              <w:keepLines w:val="0"/>
              <w:pageBreakBefore w:val="0"/>
              <w:widowControl w:val="0"/>
              <w:numPr>
                <w:ilvl w:val="0"/>
                <w:numId w:val="2"/>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如何将班组文化贯穿到班组活动中，调动成员的积极性、主动性和创造力，提升班组的凝聚力。</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top"/>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1.3基础管理</w:t>
            </w:r>
          </w:p>
        </w:tc>
        <w:tc>
          <w:tcPr>
            <w:tcW w:w="9945" w:type="dxa"/>
            <w:vAlign w:val="top"/>
          </w:tcPr>
          <w:p>
            <w:pPr>
              <w:keepNext w:val="0"/>
              <w:keepLines w:val="0"/>
              <w:pageBreakBefore w:val="0"/>
              <w:widowControl w:val="0"/>
              <w:numPr>
                <w:ilvl w:val="0"/>
                <w:numId w:val="3"/>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kern w:val="2"/>
                <w:sz w:val="21"/>
                <w:szCs w:val="21"/>
                <w:vertAlign w:val="baseline"/>
                <w:lang w:val="en-US" w:eastAsia="zh-CN" w:bidi="ar-SA"/>
              </w:rPr>
            </w:pPr>
            <w:r>
              <w:rPr>
                <w:rFonts w:hint="default" w:ascii="Times New Roman" w:hAnsi="Times New Roman" w:eastAsia="宋体" w:cs="Times New Roman"/>
                <w:spacing w:val="0"/>
                <w:w w:val="100"/>
                <w:sz w:val="21"/>
                <w:szCs w:val="21"/>
                <w:lang w:val="en-US" w:eastAsia="zh-CN"/>
              </w:rPr>
              <w:t>如何加强班组基础管理工作，包括建立及实施基础性管理制度和标准，如</w:t>
            </w:r>
            <w:r>
              <w:rPr>
                <w:rFonts w:hint="default" w:ascii="Times New Roman" w:hAnsi="Times New Roman" w:eastAsia="宋体" w:cs="Times New Roman"/>
                <w:spacing w:val="0"/>
                <w:w w:val="100"/>
                <w:sz w:val="21"/>
                <w:szCs w:val="21"/>
                <w:vertAlign w:val="baseline"/>
                <w:lang w:val="en-US" w:eastAsia="zh-CN"/>
              </w:rPr>
              <w:t>《班组团队管理制度》《班组例会管理制度》《班组现场管理制度》《班组质量管理制度》《班组创新管理制度》《班组学习管理制度》《班组计划管理制度》《班组绩效管理制度》等</w:t>
            </w:r>
            <w:r>
              <w:rPr>
                <w:rFonts w:hint="default" w:ascii="Times New Roman" w:hAnsi="Times New Roman" w:eastAsia="宋体" w:cs="Times New Roman"/>
                <w:spacing w:val="0"/>
                <w:w w:val="100"/>
                <w:sz w:val="21"/>
                <w:szCs w:val="21"/>
                <w:lang w:val="en-US" w:eastAsia="zh-CN"/>
              </w:rPr>
              <w:t>。</w:t>
            </w:r>
          </w:p>
          <w:p>
            <w:pPr>
              <w:keepNext w:val="0"/>
              <w:keepLines w:val="0"/>
              <w:pageBreakBefore w:val="0"/>
              <w:widowControl w:val="0"/>
              <w:numPr>
                <w:ilvl w:val="0"/>
                <w:numId w:val="3"/>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kern w:val="2"/>
                <w:sz w:val="21"/>
                <w:szCs w:val="21"/>
                <w:vertAlign w:val="baseline"/>
                <w:lang w:val="en-US" w:eastAsia="zh-CN" w:bidi="ar-SA"/>
              </w:rPr>
            </w:pPr>
            <w:r>
              <w:rPr>
                <w:rFonts w:hint="default" w:ascii="Times New Roman" w:hAnsi="Times New Roman" w:eastAsia="宋体" w:cs="Times New Roman"/>
                <w:spacing w:val="0"/>
                <w:w w:val="100"/>
                <w:kern w:val="2"/>
                <w:sz w:val="21"/>
                <w:szCs w:val="21"/>
                <w:vertAlign w:val="baseline"/>
                <w:lang w:val="en-US" w:eastAsia="zh-CN" w:bidi="ar-SA"/>
              </w:rPr>
              <w:t>如何确保班组成员熟练掌握并应用与班组工作相关的信息系统，遵守组织信息安全及保密管理的各项要求。</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firstLine="0" w:firstLineChars="0"/>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2</w:t>
            </w:r>
          </w:p>
        </w:tc>
        <w:tc>
          <w:tcPr>
            <w:tcW w:w="1200" w:type="dxa"/>
            <w:vMerge w:val="restart"/>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质量</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350分</w:t>
            </w: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2.1质量安全</w:t>
            </w:r>
          </w:p>
        </w:tc>
        <w:tc>
          <w:tcPr>
            <w:tcW w:w="9945" w:type="dxa"/>
            <w:vAlign w:val="top"/>
          </w:tcPr>
          <w:p>
            <w:pPr>
              <w:keepNext w:val="0"/>
              <w:keepLines w:val="0"/>
              <w:pageBreakBefore w:val="0"/>
              <w:widowControl w:val="0"/>
              <w:numPr>
                <w:ilvl w:val="0"/>
                <w:numId w:val="4"/>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如何增强班组质量安全意识，履行质量安全责任，落实质量安全制度，</w:t>
            </w:r>
            <w:r>
              <w:rPr>
                <w:rFonts w:hint="default" w:ascii="Times New Roman" w:hAnsi="Times New Roman" w:eastAsia="宋体" w:cs="Times New Roman"/>
                <w:spacing w:val="0"/>
                <w:w w:val="100"/>
                <w:kern w:val="2"/>
                <w:sz w:val="21"/>
                <w:szCs w:val="21"/>
                <w:vertAlign w:val="baseline"/>
                <w:lang w:val="en-US" w:eastAsia="zh-CN" w:bidi="ar-SA"/>
              </w:rPr>
              <w:t>确保</w:t>
            </w:r>
            <w:r>
              <w:rPr>
                <w:rFonts w:hint="default" w:ascii="Times New Roman" w:hAnsi="Times New Roman" w:eastAsia="宋体" w:cs="Times New Roman"/>
                <w:spacing w:val="0"/>
                <w:w w:val="100"/>
                <w:sz w:val="21"/>
                <w:szCs w:val="21"/>
                <w:lang w:val="en-US" w:eastAsia="zh-CN"/>
              </w:rPr>
              <w:t>重点安全风险得到有效管控。</w:t>
            </w:r>
          </w:p>
          <w:p>
            <w:pPr>
              <w:keepNext w:val="0"/>
              <w:keepLines w:val="0"/>
              <w:pageBreakBefore w:val="0"/>
              <w:widowControl w:val="0"/>
              <w:numPr>
                <w:ilvl w:val="0"/>
                <w:numId w:val="4"/>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如何强化质量安全风险管理，识别每项作业、每台设备、设施可能存在的风险点，并</w:t>
            </w:r>
            <w:r>
              <w:rPr>
                <w:rFonts w:hint="default" w:ascii="Times New Roman" w:hAnsi="Times New Roman" w:eastAsia="宋体" w:cs="Times New Roman"/>
                <w:spacing w:val="0"/>
                <w:w w:val="100"/>
                <w:sz w:val="21"/>
                <w:szCs w:val="21"/>
              </w:rPr>
              <w:t>根据每个人的工作经验、性格特征、日常安全行为等</w:t>
            </w:r>
            <w:r>
              <w:rPr>
                <w:rFonts w:hint="default" w:ascii="Times New Roman" w:hAnsi="Times New Roman" w:eastAsia="宋体" w:cs="Times New Roman"/>
                <w:spacing w:val="0"/>
                <w:w w:val="100"/>
                <w:sz w:val="21"/>
                <w:szCs w:val="21"/>
                <w:lang w:val="en-US" w:eastAsia="zh-CN"/>
              </w:rPr>
              <w:t>制定与实施相关措施，以免产生具有重大影响的质量安全事故。</w:t>
            </w:r>
          </w:p>
          <w:p>
            <w:pPr>
              <w:keepNext w:val="0"/>
              <w:keepLines w:val="0"/>
              <w:pageBreakBefore w:val="0"/>
              <w:widowControl w:val="0"/>
              <w:numPr>
                <w:ilvl w:val="0"/>
                <w:numId w:val="4"/>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kern w:val="2"/>
                <w:sz w:val="21"/>
                <w:szCs w:val="21"/>
                <w:lang w:val="en-US" w:eastAsia="zh-CN" w:bidi="ar-SA"/>
              </w:rPr>
            </w:pPr>
            <w:r>
              <w:rPr>
                <w:rFonts w:hint="default" w:ascii="Times New Roman" w:hAnsi="Times New Roman" w:eastAsia="宋体" w:cs="Times New Roman"/>
                <w:spacing w:val="0"/>
                <w:w w:val="100"/>
                <w:sz w:val="21"/>
                <w:szCs w:val="21"/>
                <w:lang w:val="en-US" w:eastAsia="zh-CN"/>
              </w:rPr>
              <w:t>如何</w:t>
            </w:r>
            <w:r>
              <w:rPr>
                <w:rFonts w:hint="default" w:ascii="Times New Roman" w:hAnsi="Times New Roman" w:eastAsia="宋体" w:cs="Times New Roman"/>
                <w:spacing w:val="0"/>
                <w:w w:val="100"/>
                <w:sz w:val="21"/>
                <w:szCs w:val="21"/>
              </w:rPr>
              <w:t>开展</w:t>
            </w:r>
            <w:r>
              <w:rPr>
                <w:rFonts w:hint="default" w:ascii="Times New Roman" w:hAnsi="Times New Roman" w:eastAsia="宋体" w:cs="Times New Roman"/>
                <w:spacing w:val="0"/>
                <w:w w:val="100"/>
                <w:sz w:val="21"/>
                <w:szCs w:val="21"/>
                <w:lang w:val="en-US" w:eastAsia="zh-CN"/>
              </w:rPr>
              <w:t>质量</w:t>
            </w:r>
            <w:r>
              <w:rPr>
                <w:rFonts w:hint="default" w:ascii="Times New Roman" w:hAnsi="Times New Roman" w:eastAsia="宋体" w:cs="Times New Roman"/>
                <w:spacing w:val="0"/>
                <w:w w:val="100"/>
                <w:sz w:val="21"/>
                <w:szCs w:val="21"/>
              </w:rPr>
              <w:t>安全生产检查和隐患排查、风险源辨别、安全自评等活动，及时发现并消除隐患</w:t>
            </w:r>
            <w:r>
              <w:rPr>
                <w:rFonts w:hint="default" w:ascii="Times New Roman" w:hAnsi="Times New Roman" w:eastAsia="宋体" w:cs="Times New Roman"/>
                <w:spacing w:val="0"/>
                <w:w w:val="100"/>
                <w:sz w:val="21"/>
                <w:szCs w:val="21"/>
                <w:lang w:eastAsia="zh-CN"/>
              </w:rPr>
              <w:t>。</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kern w:val="2"/>
                <w:sz w:val="21"/>
                <w:szCs w:val="21"/>
                <w:vertAlign w:val="baseline"/>
                <w:lang w:val="en-US" w:eastAsia="zh-CN" w:bidi="ar-SA"/>
              </w:rPr>
            </w:pPr>
            <w:r>
              <w:rPr>
                <w:rFonts w:hint="default" w:ascii="Times New Roman" w:hAnsi="Times New Roman" w:eastAsia="宋体" w:cs="Times New Roman"/>
                <w:spacing w:val="0"/>
                <w:w w:val="100"/>
                <w:sz w:val="21"/>
                <w:szCs w:val="21"/>
                <w:vertAlign w:val="baseline"/>
                <w:lang w:val="en-US" w:eastAsia="zh-CN"/>
              </w:rPr>
              <w:t>90分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ind w:left="425" w:leftChars="0" w:hanging="425" w:firstLineChars="0"/>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2.2质量管理</w:t>
            </w:r>
          </w:p>
        </w:tc>
        <w:tc>
          <w:tcPr>
            <w:tcW w:w="9945" w:type="dxa"/>
            <w:vAlign w:val="top"/>
          </w:tcPr>
          <w:p>
            <w:pPr>
              <w:keepNext w:val="0"/>
              <w:keepLines w:val="0"/>
              <w:pageBreakBefore w:val="0"/>
              <w:widowControl w:val="0"/>
              <w:numPr>
                <w:ilvl w:val="0"/>
                <w:numId w:val="5"/>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如何加强班组标准化建设，使其各司其职、各行其责，进行标准化、规范化管理，以提升班组运转效率和工作质量。</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如何利用新技术、新工艺和新方法解决关键及重点质量问题。</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ind w:left="205" w:leftChars="0" w:hanging="20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如何推动跨班组、跨专业之间的质量信息交流和质量改进，实现质量协同。</w:t>
            </w:r>
          </w:p>
          <w:p>
            <w:pPr>
              <w:keepNext w:val="0"/>
              <w:keepLines w:val="0"/>
              <w:pageBreakBefore w:val="0"/>
              <w:widowControl w:val="0"/>
              <w:numPr>
                <w:ilvl w:val="0"/>
                <w:numId w:val="5"/>
              </w:numPr>
              <w:kinsoku/>
              <w:wordWrap/>
              <w:overflowPunct/>
              <w:topLinePunct w:val="0"/>
              <w:autoSpaceDE/>
              <w:autoSpaceDN/>
              <w:bidi w:val="0"/>
              <w:adjustRightInd/>
              <w:snapToGrid/>
              <w:spacing w:line="300" w:lineRule="exact"/>
              <w:ind w:left="205" w:leftChars="0" w:hanging="205" w:firstLineChars="0"/>
              <w:jc w:val="both"/>
              <w:textAlignment w:val="auto"/>
              <w:rPr>
                <w:rFonts w:hint="default" w:ascii="Times New Roman" w:hAnsi="Times New Roman" w:eastAsia="宋体" w:cs="Times New Roman"/>
                <w:spacing w:val="0"/>
                <w:w w:val="100"/>
                <w:kern w:val="2"/>
                <w:sz w:val="21"/>
                <w:szCs w:val="21"/>
                <w:lang w:val="en-US" w:eastAsia="zh-CN" w:bidi="ar-SA"/>
              </w:rPr>
            </w:pPr>
            <w:r>
              <w:rPr>
                <w:rFonts w:hint="default" w:ascii="Times New Roman" w:hAnsi="Times New Roman" w:eastAsia="宋体" w:cs="Times New Roman"/>
                <w:spacing w:val="0"/>
                <w:w w:val="100"/>
                <w:kern w:val="2"/>
                <w:sz w:val="21"/>
                <w:szCs w:val="21"/>
                <w:vertAlign w:val="baseline"/>
                <w:lang w:val="en-US" w:eastAsia="zh-CN" w:bidi="ar-SA"/>
              </w:rPr>
              <w:t>如何强化成本意识和提质增效的工作意识，积极进行成本管控与节能减排。</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kern w:val="2"/>
                <w:sz w:val="21"/>
                <w:szCs w:val="21"/>
                <w:vertAlign w:val="baseline"/>
                <w:lang w:val="en-US" w:eastAsia="zh-CN" w:bidi="ar-SA"/>
              </w:rPr>
            </w:pPr>
            <w:r>
              <w:rPr>
                <w:rFonts w:hint="default" w:ascii="Times New Roman" w:hAnsi="Times New Roman" w:eastAsia="宋体" w:cs="Times New Roman"/>
                <w:spacing w:val="0"/>
                <w:w w:val="100"/>
                <w:sz w:val="21"/>
                <w:szCs w:val="21"/>
                <w:vertAlign w:val="baseline"/>
                <w:lang w:val="en-US" w:eastAsia="zh-CN"/>
              </w:rPr>
              <w:t>85分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ind w:left="425" w:leftChars="0" w:hanging="425" w:firstLineChars="0"/>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2.3教育培训</w:t>
            </w:r>
          </w:p>
        </w:tc>
        <w:tc>
          <w:tcPr>
            <w:tcW w:w="9945" w:type="dxa"/>
            <w:vAlign w:val="top"/>
          </w:tcPr>
          <w:p>
            <w:pPr>
              <w:keepNext w:val="0"/>
              <w:keepLines w:val="0"/>
              <w:pageBreakBefore w:val="0"/>
              <w:widowControl w:val="0"/>
              <w:numPr>
                <w:ilvl w:val="0"/>
                <w:numId w:val="6"/>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如何开展创建学习型组织、争做知识型员工等创争活动，积极参加线上线下的学习，营造浓厚的学习氛围。</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如何加强专业管理信息系统的培训，使班组成员掌握并熟练应用生产管理、办公自动化等相关系统，提高班组全</w:t>
            </w:r>
            <w:r>
              <w:rPr>
                <w:rFonts w:hint="default" w:ascii="Times New Roman" w:hAnsi="Times New Roman" w:eastAsia="宋体" w:cs="Times New Roman"/>
                <w:color w:val="000000"/>
                <w:spacing w:val="0"/>
                <w:w w:val="100"/>
                <w:sz w:val="21"/>
                <w:szCs w:val="21"/>
                <w:lang w:val="en-US" w:eastAsia="zh-CN"/>
              </w:rPr>
              <w:t>员信息化</w:t>
            </w:r>
            <w:r>
              <w:rPr>
                <w:rFonts w:hint="default" w:ascii="Times New Roman" w:hAnsi="Times New Roman" w:eastAsia="宋体" w:cs="Times New Roman"/>
                <w:color w:val="000000"/>
                <w:spacing w:val="0"/>
                <w:w w:val="100"/>
                <w:sz w:val="21"/>
                <w:szCs w:val="21"/>
              </w:rPr>
              <w:t>及数字化</w:t>
            </w:r>
            <w:r>
              <w:rPr>
                <w:rFonts w:hint="default" w:ascii="Times New Roman" w:hAnsi="Times New Roman" w:eastAsia="宋体" w:cs="Times New Roman"/>
                <w:spacing w:val="0"/>
                <w:w w:val="100"/>
                <w:sz w:val="21"/>
                <w:szCs w:val="21"/>
                <w:lang w:val="en-US" w:eastAsia="zh-CN"/>
              </w:rPr>
              <w:t>应用水平。</w:t>
            </w:r>
          </w:p>
          <w:p>
            <w:pPr>
              <w:keepNext w:val="0"/>
              <w:keepLines w:val="0"/>
              <w:pageBreakBefore w:val="0"/>
              <w:widowControl w:val="0"/>
              <w:numPr>
                <w:ilvl w:val="0"/>
                <w:numId w:val="6"/>
              </w:numPr>
              <w:kinsoku/>
              <w:wordWrap/>
              <w:overflowPunct/>
              <w:topLinePunct w:val="0"/>
              <w:autoSpaceDE/>
              <w:autoSpaceDN/>
              <w:bidi w:val="0"/>
              <w:adjustRightInd/>
              <w:snapToGrid/>
              <w:spacing w:line="300" w:lineRule="exact"/>
              <w:ind w:left="225" w:leftChars="0" w:hanging="225" w:firstLineChars="0"/>
              <w:jc w:val="both"/>
              <w:textAlignment w:val="auto"/>
              <w:rPr>
                <w:rFonts w:hint="default" w:ascii="Times New Roman" w:hAnsi="Times New Roman" w:eastAsia="宋体" w:cs="Times New Roman"/>
                <w:spacing w:val="0"/>
                <w:w w:val="100"/>
                <w:kern w:val="2"/>
                <w:sz w:val="21"/>
                <w:szCs w:val="21"/>
                <w:lang w:val="en-US" w:eastAsia="zh-CN" w:bidi="ar-SA"/>
              </w:rPr>
            </w:pPr>
            <w:r>
              <w:rPr>
                <w:rFonts w:hint="default" w:ascii="Times New Roman" w:hAnsi="Times New Roman" w:eastAsia="宋体" w:cs="Times New Roman"/>
                <w:spacing w:val="0"/>
                <w:w w:val="100"/>
                <w:sz w:val="21"/>
                <w:szCs w:val="21"/>
                <w:lang w:val="en-US" w:eastAsia="zh-CN"/>
              </w:rPr>
              <w:t>如何提升班组技能水平和员工素质，包括开展职业技术资格认定、质量技能教育和培训、师带徒、技术讲课、应急演练、实操（实物）与仿真培训等。</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kern w:val="2"/>
                <w:sz w:val="21"/>
                <w:szCs w:val="21"/>
                <w:vertAlign w:val="baseline"/>
                <w:lang w:val="en-US" w:eastAsia="zh-CN" w:bidi="ar-SA"/>
              </w:rPr>
            </w:pPr>
            <w:r>
              <w:rPr>
                <w:rFonts w:hint="default" w:ascii="Times New Roman" w:hAnsi="Times New Roman" w:eastAsia="宋体" w:cs="Times New Roman"/>
                <w:spacing w:val="0"/>
                <w:w w:val="100"/>
                <w:sz w:val="21"/>
                <w:szCs w:val="21"/>
                <w:vertAlign w:val="baseline"/>
                <w:lang w:val="en-US" w:eastAsia="zh-CN"/>
              </w:rPr>
              <w:t>85分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ind w:left="425" w:leftChars="0" w:hanging="425" w:firstLineChars="0"/>
              <w:jc w:val="center"/>
              <w:textAlignment w:val="auto"/>
              <w:rPr>
                <w:rFonts w:hint="default" w:ascii="Times New Roman" w:hAnsi="Times New Roman" w:eastAsia="宋体" w:cs="Times New Roman"/>
                <w:spacing w:val="0"/>
                <w:w w:val="100"/>
                <w:sz w:val="21"/>
                <w:szCs w:val="21"/>
                <w:vertAlign w:val="baseline"/>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2.4质量改进</w:t>
            </w:r>
          </w:p>
        </w:tc>
        <w:tc>
          <w:tcPr>
            <w:tcW w:w="9945" w:type="dxa"/>
            <w:vAlign w:val="top"/>
          </w:tcPr>
          <w:p>
            <w:pPr>
              <w:keepNext w:val="0"/>
              <w:keepLines w:val="0"/>
              <w:pageBreakBefore w:val="0"/>
              <w:widowControl w:val="0"/>
              <w:numPr>
                <w:ilvl w:val="0"/>
                <w:numId w:val="7"/>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如何收集并确定组织质量改进需求，结合班组特色和实际开展质量改进和技术改造，采用适宜的质量管理工具解决生产、服务及管理过程中的问题。</w:t>
            </w:r>
          </w:p>
          <w:p>
            <w:pPr>
              <w:keepNext w:val="0"/>
              <w:keepLines w:val="0"/>
              <w:pageBreakBefore w:val="0"/>
              <w:widowControl w:val="0"/>
              <w:numPr>
                <w:ilvl w:val="0"/>
                <w:numId w:val="7"/>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kern w:val="2"/>
                <w:sz w:val="21"/>
                <w:szCs w:val="21"/>
                <w:vertAlign w:val="baseline"/>
                <w:lang w:val="en-US" w:eastAsia="zh-CN" w:bidi="ar-SA"/>
              </w:rPr>
            </w:pPr>
            <w:r>
              <w:rPr>
                <w:rFonts w:hint="default" w:ascii="Times New Roman" w:hAnsi="Times New Roman" w:eastAsia="宋体" w:cs="Times New Roman"/>
                <w:spacing w:val="0"/>
                <w:w w:val="100"/>
                <w:sz w:val="21"/>
                <w:szCs w:val="21"/>
                <w:lang w:val="en-US" w:eastAsia="zh-CN"/>
              </w:rPr>
              <w:t>如何结合岗位工作特点，针对班组管理、工作流程、工作方法、工作设备、工作环境等持续进行"小发明、小创造、小革新、小设计、小建议"等五小改善和创新。</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kern w:val="2"/>
                <w:sz w:val="21"/>
                <w:szCs w:val="21"/>
                <w:vertAlign w:val="baseline"/>
                <w:lang w:val="en-US" w:eastAsia="zh-CN" w:bidi="ar-SA"/>
              </w:rPr>
            </w:pPr>
            <w:r>
              <w:rPr>
                <w:rFonts w:hint="default" w:ascii="Times New Roman" w:hAnsi="Times New Roman" w:eastAsia="宋体" w:cs="Times New Roman"/>
                <w:spacing w:val="0"/>
                <w:w w:val="100"/>
                <w:sz w:val="21"/>
                <w:szCs w:val="21"/>
                <w:vertAlign w:val="baseline"/>
                <w:lang w:val="en-US" w:eastAsia="zh-CN"/>
              </w:rPr>
              <w:t>90分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firstLine="0" w:firstLineChars="0"/>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3</w:t>
            </w:r>
          </w:p>
        </w:tc>
        <w:tc>
          <w:tcPr>
            <w:tcW w:w="1200" w:type="dxa"/>
            <w:vMerge w:val="restart"/>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创新</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250分</w:t>
            </w: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3.1创新能力</w:t>
            </w:r>
          </w:p>
        </w:tc>
        <w:tc>
          <w:tcPr>
            <w:tcW w:w="9945" w:type="dxa"/>
            <w:vAlign w:val="top"/>
          </w:tcPr>
          <w:p>
            <w:pPr>
              <w:keepNext w:val="0"/>
              <w:keepLines w:val="0"/>
              <w:pageBreakBefore w:val="0"/>
              <w:widowControl w:val="0"/>
              <w:numPr>
                <w:ilvl w:val="0"/>
                <w:numId w:val="8"/>
              </w:numPr>
              <w:kinsoku/>
              <w:wordWrap/>
              <w:overflowPunct/>
              <w:topLinePunct w:val="0"/>
              <w:autoSpaceDE/>
              <w:autoSpaceDN/>
              <w:bidi w:val="0"/>
              <w:adjustRightInd/>
              <w:snapToGrid/>
              <w:spacing w:line="32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如何将创新理念融入到班组活动之中，</w:t>
            </w:r>
            <w:r>
              <w:rPr>
                <w:rFonts w:hint="default" w:ascii="Times New Roman" w:hAnsi="Times New Roman" w:eastAsia="宋体" w:cs="Times New Roman"/>
                <w:spacing w:val="0"/>
                <w:w w:val="100"/>
                <w:kern w:val="2"/>
                <w:sz w:val="21"/>
                <w:szCs w:val="21"/>
                <w:vertAlign w:val="baseline"/>
                <w:lang w:val="en-US" w:eastAsia="zh-CN" w:bidi="ar-SA"/>
              </w:rPr>
              <w:t>引导员工发扬工匠精神，崇尚创新,自觉掌握创新方法，激发创新潜能</w:t>
            </w:r>
            <w:r>
              <w:rPr>
                <w:rFonts w:hint="default" w:ascii="Times New Roman" w:hAnsi="Times New Roman" w:eastAsia="宋体" w:cs="Times New Roman"/>
                <w:spacing w:val="0"/>
                <w:w w:val="100"/>
                <w:sz w:val="21"/>
                <w:szCs w:val="21"/>
                <w:lang w:val="en-US" w:eastAsia="zh-CN"/>
              </w:rPr>
              <w:t>，让创新工作渗透到班组业务开展的每一时刻和每位成员，提高班组的创新和技术攻关能力。</w:t>
            </w:r>
          </w:p>
          <w:p>
            <w:pPr>
              <w:keepNext w:val="0"/>
              <w:keepLines w:val="0"/>
              <w:pageBreakBefore w:val="0"/>
              <w:widowControl w:val="0"/>
              <w:numPr>
                <w:ilvl w:val="0"/>
                <w:numId w:val="8"/>
              </w:numPr>
              <w:kinsoku/>
              <w:wordWrap/>
              <w:overflowPunct/>
              <w:topLinePunct w:val="0"/>
              <w:autoSpaceDE/>
              <w:autoSpaceDN/>
              <w:bidi w:val="0"/>
              <w:adjustRightInd/>
              <w:snapToGrid/>
              <w:spacing w:line="32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如何建立攻关团队、创新小组、技能大师工作室、专业技术协会等创新平台</w:t>
            </w:r>
            <w:r>
              <w:rPr>
                <w:rFonts w:hint="default" w:ascii="Times New Roman" w:hAnsi="Times New Roman" w:eastAsia="宋体" w:cs="Times New Roman"/>
                <w:spacing w:val="0"/>
                <w:w w:val="100"/>
                <w:sz w:val="21"/>
                <w:szCs w:val="21"/>
              </w:rPr>
              <w:t>，</w:t>
            </w:r>
            <w:r>
              <w:rPr>
                <w:rFonts w:hint="default" w:ascii="Times New Roman" w:hAnsi="Times New Roman" w:eastAsia="宋体" w:cs="Times New Roman"/>
                <w:spacing w:val="0"/>
                <w:w w:val="100"/>
                <w:sz w:val="21"/>
                <w:szCs w:val="21"/>
                <w:lang w:val="en-US" w:eastAsia="zh-CN"/>
              </w:rPr>
              <w:t>加强</w:t>
            </w:r>
            <w:r>
              <w:rPr>
                <w:rFonts w:hint="default" w:ascii="Times New Roman" w:hAnsi="Times New Roman" w:eastAsia="宋体" w:cs="Times New Roman"/>
                <w:spacing w:val="0"/>
                <w:w w:val="100"/>
                <w:sz w:val="21"/>
                <w:szCs w:val="21"/>
              </w:rPr>
              <w:t>创新成果</w:t>
            </w:r>
            <w:r>
              <w:rPr>
                <w:rFonts w:hint="default" w:ascii="Times New Roman" w:hAnsi="Times New Roman" w:eastAsia="宋体" w:cs="Times New Roman"/>
                <w:spacing w:val="0"/>
                <w:w w:val="100"/>
                <w:sz w:val="21"/>
                <w:szCs w:val="21"/>
                <w:lang w:val="en-US" w:eastAsia="zh-CN"/>
              </w:rPr>
              <w:t>及</w:t>
            </w:r>
            <w:r>
              <w:rPr>
                <w:rFonts w:hint="default" w:ascii="Times New Roman" w:hAnsi="Times New Roman" w:eastAsia="宋体" w:cs="Times New Roman"/>
                <w:spacing w:val="0"/>
                <w:w w:val="100"/>
                <w:sz w:val="21"/>
                <w:szCs w:val="21"/>
              </w:rPr>
              <w:t>发明创造</w:t>
            </w:r>
            <w:r>
              <w:rPr>
                <w:rFonts w:hint="default" w:ascii="Times New Roman" w:hAnsi="Times New Roman" w:eastAsia="宋体" w:cs="Times New Roman"/>
                <w:spacing w:val="0"/>
                <w:w w:val="100"/>
                <w:sz w:val="21"/>
                <w:szCs w:val="21"/>
                <w:lang w:val="en-US" w:eastAsia="zh-CN"/>
              </w:rPr>
              <w:t>的</w:t>
            </w:r>
            <w:r>
              <w:rPr>
                <w:rFonts w:hint="default" w:ascii="Times New Roman" w:hAnsi="Times New Roman" w:eastAsia="宋体" w:cs="Times New Roman"/>
                <w:spacing w:val="0"/>
                <w:w w:val="100"/>
                <w:sz w:val="21"/>
                <w:szCs w:val="21"/>
              </w:rPr>
              <w:t>推广运用</w:t>
            </w:r>
            <w:r>
              <w:rPr>
                <w:rFonts w:hint="default" w:ascii="Times New Roman" w:hAnsi="Times New Roman" w:eastAsia="宋体" w:cs="Times New Roman"/>
                <w:spacing w:val="0"/>
                <w:w w:val="100"/>
                <w:sz w:val="21"/>
                <w:szCs w:val="21"/>
                <w:lang w:val="en-US" w:eastAsia="zh-CN"/>
              </w:rPr>
              <w:t>。</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90分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center"/>
          </w:tcPr>
          <w:p>
            <w:pPr>
              <w:keepNext w:val="0"/>
              <w:keepLines w:val="0"/>
              <w:pageBreakBefore w:val="0"/>
              <w:widowControl w:val="0"/>
              <w:numPr>
                <w:ilvl w:val="0"/>
                <w:numId w:val="9"/>
              </w:numPr>
              <w:kinsoku/>
              <w:wordWrap/>
              <w:overflowPunct/>
              <w:topLinePunct w:val="0"/>
              <w:autoSpaceDE/>
              <w:autoSpaceDN/>
              <w:bidi w:val="0"/>
              <w:adjustRightInd/>
              <w:snapToGrid/>
              <w:spacing w:line="300" w:lineRule="exact"/>
              <w:ind w:left="425" w:leftChars="0" w:hanging="425" w:firstLineChars="0"/>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3.2管理创新</w:t>
            </w:r>
          </w:p>
        </w:tc>
        <w:tc>
          <w:tcPr>
            <w:tcW w:w="9945" w:type="dxa"/>
            <w:vAlign w:val="top"/>
          </w:tcPr>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225" w:leftChars="0" w:hanging="225" w:firstLineChars="0"/>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如何建立和完善班组创新激励机制，丰富创新激励举措，引导、鼓励和鞭策员工积极参与组织的改进和创新。</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225" w:leftChars="0" w:hanging="225" w:firstLineChars="0"/>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如何在满足基础管理的情况下进行班组管理模式、方法和制度创新</w:t>
            </w:r>
            <w:r>
              <w:rPr>
                <w:rFonts w:hint="default" w:ascii="Times New Roman" w:hAnsi="Times New Roman" w:eastAsia="宋体" w:cs="Times New Roman"/>
                <w:spacing w:val="0"/>
                <w:w w:val="100"/>
                <w:sz w:val="21"/>
                <w:szCs w:val="21"/>
                <w:lang w:eastAsia="zh-CN"/>
              </w:rPr>
              <w:t>，</w:t>
            </w:r>
            <w:r>
              <w:rPr>
                <w:rFonts w:hint="default" w:ascii="Times New Roman" w:hAnsi="Times New Roman" w:eastAsia="宋体" w:cs="Times New Roman"/>
                <w:spacing w:val="0"/>
                <w:w w:val="100"/>
                <w:sz w:val="21"/>
                <w:szCs w:val="21"/>
                <w:lang w:val="en-US" w:eastAsia="zh-CN"/>
              </w:rPr>
              <w:t>并</w:t>
            </w:r>
            <w:r>
              <w:rPr>
                <w:rFonts w:hint="default" w:ascii="Times New Roman" w:hAnsi="Times New Roman" w:eastAsia="宋体" w:cs="Times New Roman"/>
                <w:spacing w:val="0"/>
                <w:w w:val="100"/>
                <w:sz w:val="21"/>
                <w:szCs w:val="21"/>
              </w:rPr>
              <w:t>建立机制在班组内、外部组织宣传、推广、应用质量管理模式、方法</w:t>
            </w:r>
            <w:r>
              <w:rPr>
                <w:rFonts w:hint="default" w:ascii="Times New Roman" w:hAnsi="Times New Roman" w:eastAsia="宋体" w:cs="Times New Roman"/>
                <w:spacing w:val="0"/>
                <w:w w:val="100"/>
                <w:sz w:val="21"/>
                <w:szCs w:val="21"/>
                <w:lang w:val="en-US" w:eastAsia="zh-CN"/>
              </w:rPr>
              <w:t>和/或</w:t>
            </w:r>
            <w:r>
              <w:rPr>
                <w:rFonts w:hint="default" w:ascii="Times New Roman" w:hAnsi="Times New Roman" w:eastAsia="宋体" w:cs="Times New Roman"/>
                <w:spacing w:val="0"/>
                <w:w w:val="100"/>
                <w:sz w:val="21"/>
                <w:szCs w:val="21"/>
              </w:rPr>
              <w:t>制度，并持续完善改进。</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225" w:leftChars="0" w:hanging="225" w:firstLineChars="0"/>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rPr>
              <w:t>如何根据组织的战略任务、工艺技术和产品发展的趋势，有组织有计划地推动班组管理创新，包括针对具体质量问题创新管理工具和方法。</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80分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3.3技术创新</w:t>
            </w:r>
          </w:p>
        </w:tc>
        <w:tc>
          <w:tcPr>
            <w:tcW w:w="9945" w:type="dxa"/>
            <w:vAlign w:val="top"/>
          </w:tcPr>
          <w:p>
            <w:pPr>
              <w:keepNext w:val="0"/>
              <w:keepLines w:val="0"/>
              <w:pageBreakBefore w:val="0"/>
              <w:widowControl w:val="0"/>
              <w:numPr>
                <w:ilvl w:val="0"/>
                <w:numId w:val="11"/>
              </w:numPr>
              <w:kinsoku/>
              <w:wordWrap/>
              <w:overflowPunct/>
              <w:topLinePunct w:val="0"/>
              <w:autoSpaceDE/>
              <w:autoSpaceDN/>
              <w:bidi w:val="0"/>
              <w:adjustRightInd/>
              <w:snapToGrid/>
              <w:spacing w:line="320" w:lineRule="exact"/>
              <w:ind w:left="225" w:leftChars="0" w:hanging="225" w:firstLineChars="0"/>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如何利用互联网、物联网、大数据等新一代信息技术进行诸如研发、设计、工艺、产品加工、制造和服务提供等技术创新。</w:t>
            </w:r>
          </w:p>
          <w:p>
            <w:pPr>
              <w:keepNext w:val="0"/>
              <w:keepLines w:val="0"/>
              <w:pageBreakBefore w:val="0"/>
              <w:widowControl w:val="0"/>
              <w:numPr>
                <w:ilvl w:val="0"/>
                <w:numId w:val="11"/>
              </w:numPr>
              <w:kinsoku/>
              <w:wordWrap/>
              <w:overflowPunct/>
              <w:topLinePunct w:val="0"/>
              <w:autoSpaceDE/>
              <w:autoSpaceDN/>
              <w:bidi w:val="0"/>
              <w:adjustRightInd/>
              <w:snapToGrid/>
              <w:spacing w:line="320" w:lineRule="exact"/>
              <w:ind w:left="225" w:leftChars="0" w:hanging="225" w:firstLineChars="0"/>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如何针对班组各项关键指标、老大难问题或关键工作开展技术创新或技术攻关。</w:t>
            </w:r>
          </w:p>
          <w:p>
            <w:pPr>
              <w:keepNext w:val="0"/>
              <w:keepLines w:val="0"/>
              <w:pageBreakBefore w:val="0"/>
              <w:widowControl w:val="0"/>
              <w:numPr>
                <w:ilvl w:val="0"/>
                <w:numId w:val="11"/>
              </w:numPr>
              <w:kinsoku/>
              <w:wordWrap/>
              <w:overflowPunct/>
              <w:topLinePunct w:val="0"/>
              <w:autoSpaceDE/>
              <w:autoSpaceDN/>
              <w:bidi w:val="0"/>
              <w:adjustRightInd/>
              <w:snapToGrid/>
              <w:spacing w:line="320" w:lineRule="exact"/>
              <w:ind w:left="225" w:leftChars="0" w:hanging="225" w:firstLineChars="0"/>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rPr>
              <w:t>如何有效收集、确认、传递、分享、应用班组内、外部的知识信息，</w:t>
            </w:r>
            <w:r>
              <w:rPr>
                <w:rFonts w:hint="default" w:ascii="Times New Roman" w:hAnsi="Times New Roman" w:eastAsia="宋体" w:cs="Times New Roman"/>
                <w:spacing w:val="0"/>
                <w:w w:val="100"/>
                <w:sz w:val="21"/>
                <w:szCs w:val="21"/>
                <w:lang w:val="en-US" w:eastAsia="zh-CN"/>
              </w:rPr>
              <w:t>并进行</w:t>
            </w:r>
            <w:r>
              <w:rPr>
                <w:rFonts w:hint="default" w:ascii="Times New Roman" w:hAnsi="Times New Roman" w:eastAsia="宋体" w:cs="Times New Roman"/>
                <w:spacing w:val="0"/>
                <w:w w:val="100"/>
                <w:sz w:val="21"/>
                <w:szCs w:val="21"/>
              </w:rPr>
              <w:t>知识资产管理，将知识转化为班组效益，促进知识资产的不断增值。</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80分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firstLine="0" w:firstLineChars="0"/>
              <w:jc w:val="center"/>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4</w:t>
            </w:r>
          </w:p>
        </w:tc>
        <w:tc>
          <w:tcPr>
            <w:tcW w:w="1200" w:type="dxa"/>
            <w:vMerge w:val="restart"/>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品牌</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100分</w:t>
            </w:r>
          </w:p>
        </w:tc>
        <w:tc>
          <w:tcPr>
            <w:tcW w:w="1960" w:type="dxa"/>
            <w:tcMar>
              <w:top w:w="0" w:type="dxa"/>
              <w:left w:w="108" w:type="dxa"/>
              <w:bottom w:w="0"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4.1品牌规划</w:t>
            </w:r>
          </w:p>
        </w:tc>
        <w:tc>
          <w:tcPr>
            <w:tcW w:w="9945" w:type="dxa"/>
            <w:vAlign w:val="top"/>
          </w:tcPr>
          <w:p>
            <w:pPr>
              <w:keepNext w:val="0"/>
              <w:keepLines w:val="0"/>
              <w:pageBreakBefore w:val="0"/>
              <w:widowControl w:val="0"/>
              <w:numPr>
                <w:ilvl w:val="0"/>
                <w:numId w:val="12"/>
              </w:numPr>
              <w:kinsoku/>
              <w:wordWrap/>
              <w:overflowPunct/>
              <w:topLinePunct w:val="0"/>
              <w:autoSpaceDE/>
              <w:autoSpaceDN/>
              <w:bidi w:val="0"/>
              <w:adjustRightInd/>
              <w:snapToGrid/>
              <w:spacing w:line="320" w:lineRule="exact"/>
              <w:jc w:val="left"/>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如何基于组织发展和班组特色进行班组品牌定位和规划，并建立班组品牌识别系统。</w:t>
            </w:r>
          </w:p>
          <w:p>
            <w:pPr>
              <w:keepNext w:val="0"/>
              <w:keepLines w:val="0"/>
              <w:pageBreakBefore w:val="0"/>
              <w:widowControl w:val="0"/>
              <w:numPr>
                <w:ilvl w:val="0"/>
                <w:numId w:val="12"/>
              </w:numPr>
              <w:kinsoku/>
              <w:wordWrap/>
              <w:overflowPunct/>
              <w:topLinePunct w:val="0"/>
              <w:autoSpaceDE/>
              <w:autoSpaceDN/>
              <w:bidi w:val="0"/>
              <w:adjustRightInd/>
              <w:snapToGrid/>
              <w:spacing w:line="320" w:lineRule="exact"/>
              <w:jc w:val="left"/>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如何开展班组品牌建设活动，包括办理班组文化墙、建设班组园地（含电子载体）、班组成员风采录等。</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top"/>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tcMar>
              <w:top w:w="0" w:type="dxa"/>
              <w:left w:w="108" w:type="dxa"/>
              <w:bottom w:w="0"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4.2品牌管理</w:t>
            </w:r>
          </w:p>
        </w:tc>
        <w:tc>
          <w:tcPr>
            <w:tcW w:w="9945" w:type="dxa"/>
            <w:vAlign w:val="top"/>
          </w:tcPr>
          <w:p>
            <w:pPr>
              <w:keepNext w:val="0"/>
              <w:keepLines w:val="0"/>
              <w:pageBreakBefore w:val="0"/>
              <w:widowControl w:val="0"/>
              <w:numPr>
                <w:ilvl w:val="0"/>
                <w:numId w:val="13"/>
              </w:numPr>
              <w:kinsoku/>
              <w:wordWrap/>
              <w:overflowPunct/>
              <w:topLinePunct w:val="0"/>
              <w:autoSpaceDE/>
              <w:autoSpaceDN/>
              <w:bidi w:val="0"/>
              <w:adjustRightInd/>
              <w:snapToGrid/>
              <w:spacing w:line="32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如何做好班组宣传报道，及时宣传班组的好人好事、先进典型，激励员工努力进取，奋发向上，塑造班组良好形象。</w:t>
            </w:r>
          </w:p>
          <w:p>
            <w:pPr>
              <w:keepNext w:val="0"/>
              <w:keepLines w:val="0"/>
              <w:pageBreakBefore w:val="0"/>
              <w:widowControl w:val="0"/>
              <w:numPr>
                <w:ilvl w:val="0"/>
                <w:numId w:val="13"/>
              </w:numPr>
              <w:kinsoku/>
              <w:wordWrap/>
              <w:overflowPunct/>
              <w:topLinePunct w:val="0"/>
              <w:autoSpaceDE/>
              <w:autoSpaceDN/>
              <w:bidi w:val="0"/>
              <w:adjustRightInd/>
              <w:snapToGrid/>
              <w:spacing w:line="32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如何展现班组风采，彰显班组精神，提升班组影响力，包括参加劳动竞赛、技术比武、岗位练兵、知识竞赛、技术交流等活动。</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firstLine="0" w:firstLineChars="0"/>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w:t>
            </w:r>
          </w:p>
        </w:tc>
        <w:tc>
          <w:tcPr>
            <w:tcW w:w="1200" w:type="dxa"/>
            <w:vMerge w:val="restart"/>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效益</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150分</w:t>
            </w:r>
          </w:p>
        </w:tc>
        <w:tc>
          <w:tcPr>
            <w:tcW w:w="1960" w:type="dxa"/>
            <w:tcMar>
              <w:top w:w="0" w:type="dxa"/>
              <w:left w:w="108" w:type="dxa"/>
              <w:bottom w:w="0"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5.1质量水平</w:t>
            </w:r>
          </w:p>
        </w:tc>
        <w:tc>
          <w:tcPr>
            <w:tcW w:w="9945" w:type="dxa"/>
            <w:vAlign w:val="top"/>
          </w:tcPr>
          <w:p>
            <w:pPr>
              <w:keepNext w:val="0"/>
              <w:keepLines w:val="0"/>
              <w:pageBreakBefore w:val="0"/>
              <w:widowControl w:val="0"/>
              <w:numPr>
                <w:ilvl w:val="0"/>
                <w:numId w:val="14"/>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说明产品或服务的关键质量指标水平、工艺水平及管理水平提升情况。</w:t>
            </w:r>
          </w:p>
          <w:p>
            <w:pPr>
              <w:keepNext w:val="0"/>
              <w:keepLines w:val="0"/>
              <w:pageBreakBefore w:val="0"/>
              <w:widowControl w:val="0"/>
              <w:numPr>
                <w:ilvl w:val="0"/>
                <w:numId w:val="14"/>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说明质量安全状况，如人员伤亡、质量安全事故等。</w:t>
            </w:r>
          </w:p>
          <w:p>
            <w:pPr>
              <w:keepNext w:val="0"/>
              <w:keepLines w:val="0"/>
              <w:pageBreakBefore w:val="0"/>
              <w:widowControl w:val="0"/>
              <w:numPr>
                <w:ilvl w:val="0"/>
                <w:numId w:val="14"/>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说明国内外有关质量竞赛、评选、</w:t>
            </w:r>
            <w:r>
              <w:rPr>
                <w:rFonts w:hint="default" w:ascii="Times New Roman" w:hAnsi="Times New Roman" w:eastAsia="宋体" w:cs="Times New Roman"/>
                <w:spacing w:val="0"/>
                <w:w w:val="100"/>
                <w:sz w:val="21"/>
                <w:szCs w:val="21"/>
              </w:rPr>
              <w:t>评比</w:t>
            </w:r>
            <w:r>
              <w:rPr>
                <w:rFonts w:hint="default" w:ascii="Times New Roman" w:hAnsi="Times New Roman" w:eastAsia="宋体" w:cs="Times New Roman"/>
                <w:spacing w:val="0"/>
                <w:w w:val="100"/>
                <w:sz w:val="21"/>
                <w:szCs w:val="21"/>
                <w:lang w:val="en-US" w:eastAsia="zh-CN"/>
              </w:rPr>
              <w:t>等获得奖励或荣誉情况。</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40分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center"/>
          </w:tcPr>
          <w:p>
            <w:pPr>
              <w:keepNext w:val="0"/>
              <w:keepLines w:val="0"/>
              <w:pageBreakBefore w:val="0"/>
              <w:widowControl w:val="0"/>
              <w:numPr>
                <w:ilvl w:val="0"/>
                <w:numId w:val="9"/>
              </w:numPr>
              <w:kinsoku/>
              <w:wordWrap/>
              <w:overflowPunct/>
              <w:topLinePunct w:val="0"/>
              <w:autoSpaceDE/>
              <w:autoSpaceDN/>
              <w:bidi w:val="0"/>
              <w:adjustRightInd/>
              <w:snapToGrid/>
              <w:spacing w:line="340" w:lineRule="exact"/>
              <w:ind w:left="425" w:leftChars="0" w:hanging="425" w:firstLineChars="0"/>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200" w:type="dxa"/>
            <w:vMerge w:val="continue"/>
            <w:vAlign w:val="center"/>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tcMar>
              <w:top w:w="0" w:type="dxa"/>
              <w:left w:w="108" w:type="dxa"/>
              <w:bottom w:w="0"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5.2创新价值</w:t>
            </w:r>
          </w:p>
        </w:tc>
        <w:tc>
          <w:tcPr>
            <w:tcW w:w="9945" w:type="dxa"/>
            <w:vAlign w:val="top"/>
          </w:tcPr>
          <w:p>
            <w:pPr>
              <w:keepNext w:val="0"/>
              <w:keepLines w:val="0"/>
              <w:pageBreakBefore w:val="0"/>
              <w:widowControl w:val="0"/>
              <w:numPr>
                <w:ilvl w:val="0"/>
                <w:numId w:val="15"/>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说明班组在技术攻关时取得的核心技术情况，包括解决了哪些卡脖子的技术问题等。</w:t>
            </w:r>
          </w:p>
          <w:p>
            <w:pPr>
              <w:keepNext w:val="0"/>
              <w:keepLines w:val="0"/>
              <w:pageBreakBefore w:val="0"/>
              <w:widowControl w:val="0"/>
              <w:numPr>
                <w:ilvl w:val="0"/>
                <w:numId w:val="15"/>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kern w:val="2"/>
                <w:sz w:val="21"/>
                <w:szCs w:val="21"/>
                <w:lang w:val="en-US" w:eastAsia="zh-CN" w:bidi="ar-SA"/>
              </w:rPr>
            </w:pPr>
            <w:r>
              <w:rPr>
                <w:rFonts w:hint="default" w:ascii="Times New Roman" w:hAnsi="Times New Roman" w:eastAsia="宋体" w:cs="Times New Roman"/>
                <w:spacing w:val="0"/>
                <w:w w:val="100"/>
                <w:sz w:val="21"/>
                <w:szCs w:val="21"/>
                <w:lang w:val="en-US" w:eastAsia="zh-CN"/>
              </w:rPr>
              <w:t>说明技术创新结果（核心技术）在增强市场竞争力方面的促进作用，如适应市场需求、替代进口装备（材料）和突破技术壁垒以及推动科技进步、引领产业发展。</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40分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top"/>
          </w:tcPr>
          <w:p>
            <w:pPr>
              <w:keepNext w:val="0"/>
              <w:keepLines w:val="0"/>
              <w:pageBreakBefore w:val="0"/>
              <w:widowControl w:val="0"/>
              <w:kinsoku/>
              <w:wordWrap/>
              <w:overflowPunct/>
              <w:topLinePunct w:val="0"/>
              <w:autoSpaceDE/>
              <w:autoSpaceDN/>
              <w:bidi w:val="0"/>
              <w:adjustRightInd/>
              <w:snapToGrid/>
              <w:spacing w:line="340" w:lineRule="exact"/>
              <w:ind w:left="425" w:leftChars="0" w:hanging="425" w:firstLineChars="0"/>
              <w:jc w:val="center"/>
              <w:textAlignment w:val="auto"/>
              <w:rPr>
                <w:rFonts w:hint="default" w:ascii="Times New Roman" w:hAnsi="Times New Roman" w:eastAsia="宋体" w:cs="Times New Roman"/>
                <w:spacing w:val="0"/>
                <w:w w:val="100"/>
                <w:sz w:val="21"/>
                <w:szCs w:val="21"/>
                <w:vertAlign w:val="baseline"/>
              </w:rPr>
            </w:pPr>
          </w:p>
        </w:tc>
        <w:tc>
          <w:tcPr>
            <w:tcW w:w="1200" w:type="dxa"/>
            <w:vMerge w:val="continue"/>
            <w:vAlign w:val="top"/>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tcMar>
              <w:top w:w="0" w:type="dxa"/>
              <w:left w:w="108" w:type="dxa"/>
              <w:bottom w:w="0"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5.3效率变革</w:t>
            </w:r>
          </w:p>
        </w:tc>
        <w:tc>
          <w:tcPr>
            <w:tcW w:w="9945" w:type="dxa"/>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0" w:leftChars="0" w:firstLine="0"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a.说明</w:t>
            </w:r>
            <w:r>
              <w:rPr>
                <w:rFonts w:hint="default" w:ascii="Times New Roman" w:hAnsi="Times New Roman" w:eastAsia="宋体" w:cs="Times New Roman"/>
                <w:spacing w:val="0"/>
                <w:w w:val="100"/>
                <w:sz w:val="21"/>
                <w:szCs w:val="21"/>
              </w:rPr>
              <w:t>班组</w:t>
            </w:r>
            <w:r>
              <w:rPr>
                <w:rFonts w:hint="default" w:ascii="Times New Roman" w:hAnsi="Times New Roman" w:eastAsia="宋体" w:cs="Times New Roman"/>
                <w:spacing w:val="0"/>
                <w:w w:val="100"/>
                <w:sz w:val="21"/>
                <w:szCs w:val="21"/>
                <w:lang w:val="en-US" w:eastAsia="zh-CN"/>
              </w:rPr>
              <w:t>在生产组织效率，如节能降耗、修旧利废及</w:t>
            </w:r>
            <w:r>
              <w:rPr>
                <w:rFonts w:hint="default" w:ascii="Times New Roman" w:hAnsi="Times New Roman" w:eastAsia="宋体" w:cs="Times New Roman"/>
                <w:spacing w:val="0"/>
                <w:w w:val="100"/>
                <w:sz w:val="21"/>
                <w:szCs w:val="21"/>
              </w:rPr>
              <w:t>产能</w:t>
            </w:r>
            <w:r>
              <w:rPr>
                <w:rFonts w:hint="default" w:ascii="Times New Roman" w:hAnsi="Times New Roman" w:eastAsia="宋体" w:cs="Times New Roman"/>
                <w:spacing w:val="0"/>
                <w:w w:val="100"/>
                <w:sz w:val="21"/>
                <w:szCs w:val="21"/>
                <w:lang w:val="en-US" w:eastAsia="zh-CN"/>
              </w:rPr>
              <w:t>提升</w:t>
            </w:r>
            <w:r>
              <w:rPr>
                <w:rFonts w:hint="default" w:ascii="Times New Roman" w:hAnsi="Times New Roman" w:eastAsia="宋体" w:cs="Times New Roman"/>
                <w:spacing w:val="0"/>
                <w:w w:val="100"/>
                <w:sz w:val="21"/>
                <w:szCs w:val="21"/>
              </w:rPr>
              <w:t>等关键指标</w:t>
            </w:r>
            <w:r>
              <w:rPr>
                <w:rFonts w:hint="default" w:ascii="Times New Roman" w:hAnsi="Times New Roman" w:eastAsia="宋体" w:cs="Times New Roman"/>
                <w:spacing w:val="0"/>
                <w:w w:val="100"/>
                <w:sz w:val="21"/>
                <w:szCs w:val="21"/>
                <w:lang w:val="en-US" w:eastAsia="zh-CN"/>
              </w:rPr>
              <w:t>情况及发展趋势。</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0" w:leftChars="0" w:firstLine="0"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b.说明班组在组织运行效率如加工、制造和/或服务提供过程的有效性和效率状况以及全员劳动生产率等方面情况及发展趋势。</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top"/>
          </w:tcPr>
          <w:p>
            <w:pPr>
              <w:keepNext w:val="0"/>
              <w:keepLines w:val="0"/>
              <w:pageBreakBefore w:val="0"/>
              <w:widowControl w:val="0"/>
              <w:kinsoku/>
              <w:wordWrap/>
              <w:overflowPunct/>
              <w:topLinePunct w:val="0"/>
              <w:autoSpaceDE/>
              <w:autoSpaceDN/>
              <w:bidi w:val="0"/>
              <w:adjustRightInd/>
              <w:snapToGrid/>
              <w:spacing w:line="340" w:lineRule="exact"/>
              <w:ind w:left="425" w:leftChars="0" w:hanging="425" w:firstLineChars="0"/>
              <w:jc w:val="center"/>
              <w:textAlignment w:val="auto"/>
              <w:rPr>
                <w:rFonts w:hint="default" w:ascii="Times New Roman" w:hAnsi="Times New Roman" w:eastAsia="宋体" w:cs="Times New Roman"/>
                <w:spacing w:val="0"/>
                <w:w w:val="100"/>
                <w:sz w:val="21"/>
                <w:szCs w:val="21"/>
                <w:vertAlign w:val="baseline"/>
              </w:rPr>
            </w:pPr>
          </w:p>
        </w:tc>
        <w:tc>
          <w:tcPr>
            <w:tcW w:w="1200" w:type="dxa"/>
            <w:vMerge w:val="continue"/>
            <w:vAlign w:val="top"/>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tcMar>
              <w:top w:w="0" w:type="dxa"/>
              <w:left w:w="108" w:type="dxa"/>
              <w:bottom w:w="0"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5.4经济效益</w:t>
            </w:r>
          </w:p>
        </w:tc>
        <w:tc>
          <w:tcPr>
            <w:tcW w:w="9945" w:type="dxa"/>
            <w:vAlign w:val="top"/>
          </w:tcPr>
          <w:p>
            <w:pPr>
              <w:keepNext w:val="0"/>
              <w:keepLines w:val="0"/>
              <w:pageBreakBefore w:val="0"/>
              <w:widowControl w:val="0"/>
              <w:numPr>
                <w:ilvl w:val="0"/>
                <w:numId w:val="16"/>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kern w:val="2"/>
                <w:sz w:val="21"/>
                <w:szCs w:val="21"/>
                <w:lang w:val="en-US" w:eastAsia="zh-CN" w:bidi="ar-SA"/>
              </w:rPr>
            </w:pPr>
            <w:r>
              <w:rPr>
                <w:rFonts w:hint="default" w:ascii="Times New Roman" w:hAnsi="Times New Roman" w:eastAsia="宋体" w:cs="Times New Roman"/>
                <w:spacing w:val="0"/>
                <w:w w:val="100"/>
                <w:sz w:val="21"/>
                <w:szCs w:val="21"/>
                <w:lang w:val="en-US" w:eastAsia="zh-CN"/>
              </w:rPr>
              <w:t>说明班组改善新增/节省的经济效益，包括新产品/新服务及通过改良工艺等产生的经济效益。</w:t>
            </w:r>
          </w:p>
          <w:p>
            <w:pPr>
              <w:keepNext w:val="0"/>
              <w:keepLines w:val="0"/>
              <w:pageBreakBefore w:val="0"/>
              <w:widowControl w:val="0"/>
              <w:numPr>
                <w:ilvl w:val="0"/>
                <w:numId w:val="16"/>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kern w:val="2"/>
                <w:sz w:val="21"/>
                <w:szCs w:val="21"/>
                <w:lang w:val="en-US" w:eastAsia="zh-CN" w:bidi="ar-SA"/>
              </w:rPr>
            </w:pPr>
            <w:r>
              <w:rPr>
                <w:rFonts w:hint="default" w:ascii="Times New Roman" w:hAnsi="Times New Roman" w:eastAsia="宋体" w:cs="Times New Roman"/>
                <w:spacing w:val="0"/>
                <w:w w:val="100"/>
                <w:kern w:val="2"/>
                <w:sz w:val="21"/>
                <w:szCs w:val="21"/>
                <w:lang w:val="en-US" w:eastAsia="zh-CN" w:bidi="ar-SA"/>
              </w:rPr>
              <w:t>说明运营收入、人均产值及其他财务方面的情况。</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25分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821" w:type="dxa"/>
            <w:vMerge w:val="continue"/>
            <w:vAlign w:val="top"/>
          </w:tcPr>
          <w:p>
            <w:pPr>
              <w:keepNext w:val="0"/>
              <w:keepLines w:val="0"/>
              <w:pageBreakBefore w:val="0"/>
              <w:widowControl w:val="0"/>
              <w:kinsoku/>
              <w:wordWrap/>
              <w:overflowPunct/>
              <w:topLinePunct w:val="0"/>
              <w:autoSpaceDE/>
              <w:autoSpaceDN/>
              <w:bidi w:val="0"/>
              <w:adjustRightInd/>
              <w:snapToGrid/>
              <w:spacing w:line="340" w:lineRule="exact"/>
              <w:ind w:left="425" w:leftChars="0" w:hanging="425" w:firstLineChars="0"/>
              <w:jc w:val="center"/>
              <w:textAlignment w:val="auto"/>
              <w:rPr>
                <w:rFonts w:hint="default" w:ascii="Times New Roman" w:hAnsi="Times New Roman" w:eastAsia="宋体" w:cs="Times New Roman"/>
                <w:spacing w:val="0"/>
                <w:w w:val="100"/>
                <w:sz w:val="21"/>
                <w:szCs w:val="21"/>
                <w:vertAlign w:val="baseline"/>
              </w:rPr>
            </w:pPr>
          </w:p>
        </w:tc>
        <w:tc>
          <w:tcPr>
            <w:tcW w:w="1200" w:type="dxa"/>
            <w:vMerge w:val="continue"/>
            <w:vAlign w:val="top"/>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p>
        </w:tc>
        <w:tc>
          <w:tcPr>
            <w:tcW w:w="1960" w:type="dxa"/>
            <w:tcMar>
              <w:top w:w="0" w:type="dxa"/>
              <w:left w:w="108" w:type="dxa"/>
              <w:bottom w:w="0"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5.5社会效益</w:t>
            </w:r>
          </w:p>
        </w:tc>
        <w:tc>
          <w:tcPr>
            <w:tcW w:w="9945" w:type="dxa"/>
            <w:vAlign w:val="top"/>
          </w:tcPr>
          <w:p>
            <w:pPr>
              <w:keepNext w:val="0"/>
              <w:keepLines w:val="0"/>
              <w:pageBreakBefore w:val="0"/>
              <w:widowControl w:val="0"/>
              <w:numPr>
                <w:ilvl w:val="0"/>
                <w:numId w:val="17"/>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说明班组开展保护生态环境、减少资源消耗、保障国家安全等社会责任方面的情况。</w:t>
            </w:r>
          </w:p>
          <w:p>
            <w:pPr>
              <w:keepNext w:val="0"/>
              <w:keepLines w:val="0"/>
              <w:pageBreakBefore w:val="0"/>
              <w:widowControl w:val="0"/>
              <w:numPr>
                <w:ilvl w:val="0"/>
                <w:numId w:val="17"/>
              </w:numPr>
              <w:kinsoku/>
              <w:wordWrap/>
              <w:overflowPunct/>
              <w:topLinePunct w:val="0"/>
              <w:autoSpaceDE/>
              <w:autoSpaceDN/>
              <w:bidi w:val="0"/>
              <w:adjustRightInd/>
              <w:snapToGrid/>
              <w:spacing w:line="340" w:lineRule="exact"/>
              <w:ind w:left="225" w:leftChars="0" w:hanging="225" w:firstLineChars="0"/>
              <w:jc w:val="both"/>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val="en-US" w:eastAsia="zh-CN"/>
              </w:rPr>
              <w:t>说明班组管理模式、方法或制度推广应用情况及成效。</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trPr>
        <w:tc>
          <w:tcPr>
            <w:tcW w:w="13926" w:type="dxa"/>
            <w:gridSpan w:val="4"/>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center"/>
              <w:textAlignment w:val="auto"/>
              <w:rPr>
                <w:rFonts w:hint="default"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vertAlign w:val="baseline"/>
                <w:lang w:val="en-US" w:eastAsia="zh-CN"/>
              </w:rPr>
              <w:t>合计</w:t>
            </w:r>
          </w:p>
        </w:tc>
        <w:tc>
          <w:tcPr>
            <w:tcW w:w="1263" w:type="dxa"/>
            <w:vAlign w:val="center"/>
          </w:tcPr>
          <w:p>
            <w:pPr>
              <w:keepNext w:val="0"/>
              <w:keepLines w:val="0"/>
              <w:pageBreakBefore w:val="0"/>
              <w:widowControl w:val="0"/>
              <w:kinsoku/>
              <w:wordWrap/>
              <w:overflowPunct/>
              <w:topLinePunct w:val="0"/>
              <w:autoSpaceDE/>
              <w:autoSpaceDN/>
              <w:bidi w:val="0"/>
              <w:adjustRightInd/>
              <w:snapToGrid/>
              <w:spacing w:line="300" w:lineRule="exact"/>
              <w:jc w:val="center"/>
              <w:textAlignment w:val="auto"/>
              <w:rPr>
                <w:rFonts w:hint="default" w:ascii="Times New Roman" w:hAnsi="Times New Roman" w:eastAsia="宋体" w:cs="Times New Roman"/>
                <w:spacing w:val="0"/>
                <w:w w:val="100"/>
                <w:sz w:val="21"/>
                <w:szCs w:val="21"/>
                <w:vertAlign w:val="baseline"/>
                <w:lang w:val="en-US" w:eastAsia="zh-CN"/>
              </w:rPr>
            </w:pPr>
            <w:r>
              <w:rPr>
                <w:rFonts w:hint="default" w:ascii="Times New Roman" w:hAnsi="Times New Roman" w:eastAsia="宋体" w:cs="Times New Roman"/>
                <w:spacing w:val="0"/>
                <w:w w:val="100"/>
                <w:sz w:val="21"/>
                <w:szCs w:val="21"/>
                <w:vertAlign w:val="baseline"/>
                <w:lang w:val="en-US" w:eastAsia="zh-CN"/>
              </w:rPr>
              <w:t>1000分</w:t>
            </w:r>
          </w:p>
        </w:tc>
      </w:tr>
    </w:tbl>
    <w:p>
      <w:pPr>
        <w:rPr>
          <w:rFonts w:ascii="仿宋_GB2312" w:cs="仿宋"/>
          <w:szCs w:val="32"/>
        </w:rPr>
      </w:pPr>
    </w:p>
    <w:sectPr>
      <w:pgSz w:w="16838" w:h="11906" w:orient="landscape"/>
      <w:pgMar w:top="1800" w:right="1440" w:bottom="1800" w:left="1440" w:header="851" w:footer="992" w:gutter="0"/>
      <w:pgNumType w:fmt="numberInDash"/>
      <w:cols w:space="425" w:num="1"/>
      <w:docGrid w:type="lines" w:linePitch="43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6FF" w:usb1="420024FF" w:usb2="02000000" w:usb3="00000000" w:csb0="2000019F"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 w:name="方正小标宋简体">
    <w:panose1 w:val="02010601030101010101"/>
    <w:charset w:val="86"/>
    <w:family w:val="script"/>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方正中等线简体">
    <w:altName w:val="宋体"/>
    <w:panose1 w:val="00000000000000000000"/>
    <w:charset w:val="86"/>
    <w:family w:val="auto"/>
    <w:pitch w:val="default"/>
    <w:sig w:usb0="00000000" w:usb1="00000000" w:usb2="00000010" w:usb3="00000000" w:csb0="00040000" w:csb1="00000000"/>
  </w:font>
  <w:font w:name="方正仿宋简体">
    <w:altName w:val="微软雅黑"/>
    <w:panose1 w:val="00000000000000000000"/>
    <w:charset w:val="86"/>
    <w:family w:val="script"/>
    <w:pitch w:val="default"/>
    <w:sig w:usb0="00000000" w:usb1="00000000" w:usb2="00000010" w:usb3="00000000" w:csb0="00040000"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 w:name="Arial Unicode MS">
    <w:altName w:val="宋体"/>
    <w:panose1 w:val="020B0604020202020204"/>
    <w:charset w:val="86"/>
    <w:family w:val="auto"/>
    <w:pitch w:val="default"/>
    <w:sig w:usb0="00000000" w:usb1="00000000" w:usb2="0000003F" w:usb3="00000000" w:csb0="603F01FF" w:csb1="FFFF0000"/>
  </w:font>
  <w:font w:name="方正大标宋简体">
    <w:altName w:val="微软雅黑"/>
    <w:panose1 w:val="02010601030101010101"/>
    <w:charset w:val="86"/>
    <w:family w:val="auto"/>
    <w:pitch w:val="default"/>
    <w:sig w:usb0="00000000" w:usb1="00000000" w:usb2="00000000" w:usb3="00000000" w:csb0="00040000" w:csb1="00000000"/>
  </w:font>
  <w:font w:name="MS Gothic">
    <w:panose1 w:val="020B0609070205080204"/>
    <w:charset w:val="80"/>
    <w:family w:val="auto"/>
    <w:pitch w:val="default"/>
    <w:sig w:usb0="E00002FF" w:usb1="6AC7FDFB" w:usb2="08000012" w:usb3="00000000" w:csb0="4002009F" w:csb1="DFD70000"/>
  </w:font>
  <w:font w:name="方正黑体简体">
    <w:altName w:val="微软雅黑"/>
    <w:panose1 w:val="02010601030101010101"/>
    <w:charset w:val="86"/>
    <w:family w:val="script"/>
    <w:pitch w:val="default"/>
    <w:sig w:usb0="00000000" w:usb1="00000000" w:usb2="00000000" w:usb3="00000000" w:csb0="00040000" w:csb1="00000000"/>
  </w:font>
  <w:font w:name="Arial">
    <w:panose1 w:val="020B0604020202020204"/>
    <w:charset w:val="00"/>
    <w:family w:val="auto"/>
    <w:pitch w:val="default"/>
    <w:sig w:usb0="E0002EFF" w:usb1="C000785B" w:usb2="00000009" w:usb3="00000000" w:csb0="400001FF" w:csb1="FFFF0000"/>
  </w:font>
  <w:font w:name="方正舒体">
    <w:altName w:val="宋体"/>
    <w:panose1 w:val="02010601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838835" cy="308610"/>
              <wp:effectExtent l="0" t="0" r="0" b="0"/>
              <wp:wrapNone/>
              <wp:docPr id="17" name="文本框 6"/>
              <wp:cNvGraphicFramePr/>
              <a:graphic xmlns:a="http://schemas.openxmlformats.org/drawingml/2006/main">
                <a:graphicData uri="http://schemas.microsoft.com/office/word/2010/wordprocessingShape">
                  <wps:wsp>
                    <wps:cNvSpPr txBox="1"/>
                    <wps:spPr>
                      <a:xfrm>
                        <a:off x="0" y="0"/>
                        <a:ext cx="838835" cy="308610"/>
                      </a:xfrm>
                      <a:prstGeom prst="rect">
                        <a:avLst/>
                      </a:prstGeom>
                      <a:noFill/>
                      <a:ln w="9525">
                        <a:noFill/>
                      </a:ln>
                    </wps:spPr>
                    <wps:txbx>
                      <w:txbxContent>
                        <w:p>
                          <w:pPr>
                            <w:snapToGrid w:val="0"/>
                            <w:jc w:val="center"/>
                            <w:rPr>
                              <w:rFonts w:ascii="宋体" w:hAnsi="宋体" w:eastAsia="宋体"/>
                              <w:spacing w:val="-20"/>
                              <w:sz w:val="28"/>
                              <w:szCs w:val="28"/>
                            </w:rPr>
                          </w:pPr>
                          <w:r>
                            <w:rPr>
                              <w:rFonts w:ascii="宋体" w:hAnsi="宋体" w:eastAsia="宋体"/>
                              <w:spacing w:val="40"/>
                              <w:sz w:val="28"/>
                            </w:rPr>
                            <w:fldChar w:fldCharType="begin"/>
                          </w:r>
                          <w:r>
                            <w:rPr>
                              <w:rStyle w:val="6"/>
                              <w:rFonts w:ascii="宋体" w:hAnsi="宋体" w:eastAsia="宋体"/>
                              <w:spacing w:val="40"/>
                              <w:sz w:val="28"/>
                            </w:rPr>
                            <w:instrText xml:space="preserve">PAGE  </w:instrText>
                          </w:r>
                          <w:r>
                            <w:rPr>
                              <w:rFonts w:ascii="宋体" w:hAnsi="宋体" w:eastAsia="宋体"/>
                              <w:spacing w:val="40"/>
                              <w:sz w:val="28"/>
                            </w:rPr>
                            <w:fldChar w:fldCharType="separate"/>
                          </w:r>
                          <w:r>
                            <w:rPr>
                              <w:rStyle w:val="6"/>
                              <w:rFonts w:ascii="宋体" w:hAnsi="宋体" w:eastAsia="宋体"/>
                              <w:spacing w:val="40"/>
                              <w:sz w:val="28"/>
                            </w:rPr>
                            <w:t>1</w:t>
                          </w:r>
                          <w:r>
                            <w:rPr>
                              <w:rFonts w:ascii="宋体" w:hAnsi="宋体" w:eastAsia="宋体"/>
                              <w:spacing w:val="40"/>
                              <w:sz w:val="28"/>
                            </w:rPr>
                            <w:fldChar w:fldCharType="end"/>
                          </w:r>
                        </w:p>
                      </w:txbxContent>
                    </wps:txbx>
                    <wps:bodyPr lIns="0" tIns="0" rIns="0" bIns="0"/>
                  </wps:wsp>
                </a:graphicData>
              </a:graphic>
            </wp:anchor>
          </w:drawing>
        </mc:Choice>
        <mc:Fallback>
          <w:pict>
            <v:shape id="文本框 6" o:spid="_x0000_s1026" o:spt="202" type="#_x0000_t202" style="position:absolute;left:0pt;margin-top:0pt;height:24.3pt;width:66.05pt;mso-position-horizontal:outside;mso-position-horizontal-relative:margin;z-index:251659264;mso-width-relative:page;mso-height-relative:page;" filled="f" stroked="f" coordsize="21600,21600" o:gfxdata="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ChbZ4zUAAAABAEAAA8AAAAAAAAAAQAg&#10;AAAAIgAAAGRycy9kb3ducmV2LnhtbFBLAQIUABQAAAAIAIdO4kDuVnoHoAEAACEDAAAOAAAAAAAA&#10;AAEAIAAAACMBAABkcnMvZTJvRG9jLnhtbFBLBQYAAAAABgAGAFkBAAA1BQAAAAA=&#10;">
              <v:fill on="f" focussize="0,0"/>
              <v:stroke on="f"/>
              <v:imagedata o:title=""/>
              <o:lock v:ext="edit" aspectratio="f"/>
              <v:textbox inset="0mm,0mm,0mm,0mm">
                <w:txbxContent>
                  <w:p>
                    <w:pPr>
                      <w:snapToGrid w:val="0"/>
                      <w:jc w:val="center"/>
                      <w:rPr>
                        <w:rFonts w:ascii="宋体" w:hAnsi="宋体" w:eastAsia="宋体"/>
                        <w:spacing w:val="-20"/>
                        <w:sz w:val="28"/>
                        <w:szCs w:val="28"/>
                      </w:rPr>
                    </w:pPr>
                    <w:r>
                      <w:rPr>
                        <w:rFonts w:ascii="宋体" w:hAnsi="宋体" w:eastAsia="宋体"/>
                        <w:spacing w:val="40"/>
                        <w:sz w:val="28"/>
                      </w:rPr>
                      <w:fldChar w:fldCharType="begin"/>
                    </w:r>
                    <w:r>
                      <w:rPr>
                        <w:rStyle w:val="6"/>
                        <w:rFonts w:ascii="宋体" w:hAnsi="宋体" w:eastAsia="宋体"/>
                        <w:spacing w:val="40"/>
                        <w:sz w:val="28"/>
                      </w:rPr>
                      <w:instrText xml:space="preserve">PAGE  </w:instrText>
                    </w:r>
                    <w:r>
                      <w:rPr>
                        <w:rFonts w:ascii="宋体" w:hAnsi="宋体" w:eastAsia="宋体"/>
                        <w:spacing w:val="40"/>
                        <w:sz w:val="28"/>
                      </w:rPr>
                      <w:fldChar w:fldCharType="separate"/>
                    </w:r>
                    <w:r>
                      <w:rPr>
                        <w:rStyle w:val="6"/>
                        <w:rFonts w:ascii="宋体" w:hAnsi="宋体" w:eastAsia="宋体"/>
                        <w:spacing w:val="40"/>
                        <w:sz w:val="28"/>
                      </w:rPr>
                      <w:t>1</w:t>
                    </w:r>
                    <w:r>
                      <w:rPr>
                        <w:rFonts w:ascii="宋体" w:hAnsi="宋体" w:eastAsia="宋体"/>
                        <w:spacing w:val="40"/>
                        <w:sz w:val="2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99060</wp:posOffset>
              </wp:positionV>
              <wp:extent cx="838835" cy="308610"/>
              <wp:effectExtent l="0" t="0" r="0" b="0"/>
              <wp:wrapNone/>
              <wp:docPr id="18" name="文本框 6"/>
              <wp:cNvGraphicFramePr/>
              <a:graphic xmlns:a="http://schemas.openxmlformats.org/drawingml/2006/main">
                <a:graphicData uri="http://schemas.microsoft.com/office/word/2010/wordprocessingShape">
                  <wps:wsp>
                    <wps:cNvSpPr txBox="1"/>
                    <wps:spPr>
                      <a:xfrm>
                        <a:off x="0" y="0"/>
                        <a:ext cx="838835" cy="308610"/>
                      </a:xfrm>
                      <a:prstGeom prst="rect">
                        <a:avLst/>
                      </a:prstGeom>
                      <a:noFill/>
                      <a:ln w="9525">
                        <a:noFill/>
                      </a:ln>
                    </wps:spPr>
                    <wps:txbx>
                      <w:txbxContent>
                        <w:p>
                          <w:pPr>
                            <w:snapToGrid w:val="0"/>
                            <w:rPr>
                              <w:rFonts w:eastAsia="仿宋"/>
                              <w:spacing w:val="-20"/>
                              <w:sz w:val="28"/>
                              <w:szCs w:val="28"/>
                            </w:rPr>
                          </w:pPr>
                          <w:r>
                            <w:rPr>
                              <w:rStyle w:val="6"/>
                              <w:rFonts w:hint="eastAsia" w:eastAsia="方正中等线简体"/>
                              <w:spacing w:val="40"/>
                              <w:sz w:val="28"/>
                            </w:rPr>
                            <w:t>一</w:t>
                          </w:r>
                          <w:r>
                            <w:rPr>
                              <w:rFonts w:eastAsia="方正中等线简体"/>
                              <w:spacing w:val="40"/>
                              <w:sz w:val="28"/>
                            </w:rPr>
                            <w:fldChar w:fldCharType="begin"/>
                          </w:r>
                          <w:r>
                            <w:rPr>
                              <w:rStyle w:val="6"/>
                              <w:spacing w:val="40"/>
                              <w:sz w:val="28"/>
                            </w:rPr>
                            <w:instrText xml:space="preserve">PAGE  </w:instrText>
                          </w:r>
                          <w:r>
                            <w:rPr>
                              <w:spacing w:val="40"/>
                              <w:sz w:val="28"/>
                            </w:rPr>
                            <w:fldChar w:fldCharType="separate"/>
                          </w:r>
                          <w:r>
                            <w:rPr>
                              <w:rStyle w:val="6"/>
                              <w:spacing w:val="40"/>
                              <w:sz w:val="28"/>
                            </w:rPr>
                            <w:t>1</w:t>
                          </w:r>
                          <w:r>
                            <w:rPr>
                              <w:spacing w:val="40"/>
                              <w:sz w:val="28"/>
                            </w:rPr>
                            <w:fldChar w:fldCharType="end"/>
                          </w:r>
                          <w:r>
                            <w:rPr>
                              <w:rStyle w:val="6"/>
                              <w:rFonts w:hint="eastAsia" w:eastAsia="方正中等线简体"/>
                              <w:spacing w:val="40"/>
                              <w:sz w:val="28"/>
                            </w:rPr>
                            <w:t>一</w:t>
                          </w:r>
                        </w:p>
                      </w:txbxContent>
                    </wps:txbx>
                    <wps:bodyPr lIns="0" tIns="0" rIns="0" bIns="0"/>
                  </wps:wsp>
                </a:graphicData>
              </a:graphic>
            </wp:anchor>
          </w:drawing>
        </mc:Choice>
        <mc:Fallback>
          <w:pict>
            <v:shape id="文本框 6" o:spid="_x0000_s1026" o:spt="202" type="#_x0000_t202" style="position:absolute;left:0pt;margin-top:7.8pt;height:24.3pt;width:66.05pt;mso-position-horizontal:outside;mso-position-horizontal-relative:margin;z-index:251660288;mso-width-relative:page;mso-height-relative:page;" filled="f" stroked="f" coordsize="21600,21600" o:gfxdata="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hcZ+CtYAAAAGAQAADwAAAAAAAAAB&#10;ACAAAAAiAAAAZHJzL2Rvd25yZXYueG1sUEsBAhQAFAAAAAgAh07iQEz82tygAQAAIQMAAA4AAAAA&#10;AAAAAQAgAAAAJQEAAGRycy9lMm9Eb2MueG1sUEsFBgAAAAAGAAYAWQEAADcFAAAAAA==&#10;">
              <v:fill on="f" focussize="0,0"/>
              <v:stroke on="f"/>
              <v:imagedata o:title=""/>
              <o:lock v:ext="edit" aspectratio="f"/>
              <v:textbox inset="0mm,0mm,0mm,0mm">
                <w:txbxContent>
                  <w:p>
                    <w:pPr>
                      <w:snapToGrid w:val="0"/>
                      <w:rPr>
                        <w:rFonts w:eastAsia="仿宋"/>
                        <w:spacing w:val="-20"/>
                        <w:sz w:val="28"/>
                        <w:szCs w:val="28"/>
                      </w:rPr>
                    </w:pPr>
                    <w:r>
                      <w:rPr>
                        <w:rStyle w:val="6"/>
                        <w:rFonts w:hint="eastAsia" w:eastAsia="方正中等线简体"/>
                        <w:spacing w:val="40"/>
                        <w:sz w:val="28"/>
                      </w:rPr>
                      <w:t>一</w:t>
                    </w:r>
                    <w:r>
                      <w:rPr>
                        <w:rFonts w:eastAsia="方正中等线简体"/>
                        <w:spacing w:val="40"/>
                        <w:sz w:val="28"/>
                      </w:rPr>
                      <w:fldChar w:fldCharType="begin"/>
                    </w:r>
                    <w:r>
                      <w:rPr>
                        <w:rStyle w:val="6"/>
                        <w:spacing w:val="40"/>
                        <w:sz w:val="28"/>
                      </w:rPr>
                      <w:instrText xml:space="preserve">PAGE  </w:instrText>
                    </w:r>
                    <w:r>
                      <w:rPr>
                        <w:spacing w:val="40"/>
                        <w:sz w:val="28"/>
                      </w:rPr>
                      <w:fldChar w:fldCharType="separate"/>
                    </w:r>
                    <w:r>
                      <w:rPr>
                        <w:rStyle w:val="6"/>
                        <w:spacing w:val="40"/>
                        <w:sz w:val="28"/>
                      </w:rPr>
                      <w:t>1</w:t>
                    </w:r>
                    <w:r>
                      <w:rPr>
                        <w:spacing w:val="40"/>
                        <w:sz w:val="28"/>
                      </w:rPr>
                      <w:fldChar w:fldCharType="end"/>
                    </w:r>
                    <w:r>
                      <w:rPr>
                        <w:rStyle w:val="6"/>
                        <w:rFonts w:hint="eastAsia" w:eastAsia="方正中等线简体"/>
                        <w:spacing w:val="40"/>
                        <w:sz w:val="28"/>
                      </w:rPr>
                      <w:t>一</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rStyle w:val="6"/>
        <w:rFonts w:hint="eastAsia" w:eastAsia="方正中等线简体"/>
        <w:spacing w:val="40"/>
        <w:sz w:val="28"/>
      </w:rPr>
      <w:t>一</w:t>
    </w:r>
    <w:r>
      <w:rPr>
        <w:rFonts w:eastAsia="方正中等线简体"/>
        <w:spacing w:val="40"/>
        <w:sz w:val="28"/>
      </w:rPr>
      <w:fldChar w:fldCharType="begin"/>
    </w:r>
    <w:r>
      <w:rPr>
        <w:rStyle w:val="6"/>
        <w:spacing w:val="40"/>
        <w:sz w:val="28"/>
      </w:rPr>
      <w:instrText xml:space="preserve">PAGE  </w:instrText>
    </w:r>
    <w:r>
      <w:rPr>
        <w:spacing w:val="40"/>
        <w:sz w:val="28"/>
      </w:rPr>
      <w:fldChar w:fldCharType="separate"/>
    </w:r>
    <w:r>
      <w:rPr>
        <w:rStyle w:val="6"/>
        <w:spacing w:val="40"/>
        <w:sz w:val="28"/>
      </w:rPr>
      <w:t>1</w:t>
    </w:r>
    <w:r>
      <w:rPr>
        <w:spacing w:val="40"/>
        <w:sz w:val="28"/>
      </w:rPr>
      <w:fldChar w:fldCharType="end"/>
    </w:r>
    <w:r>
      <w:rPr>
        <w:rStyle w:val="6"/>
        <w:rFonts w:hint="eastAsia" w:eastAsia="方正中等线简体"/>
        <w:spacing w:val="40"/>
        <w:sz w:val="28"/>
      </w:rPr>
      <w:t>一</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65D9A76"/>
    <w:multiLevelType w:val="singleLevel"/>
    <w:tmpl w:val="965D9A76"/>
    <w:lvl w:ilvl="0" w:tentative="0">
      <w:start w:val="1"/>
      <w:numFmt w:val="lowerLetter"/>
      <w:lvlText w:val="%1."/>
      <w:lvlJc w:val="left"/>
      <w:pPr>
        <w:ind w:left="425" w:hanging="425"/>
      </w:pPr>
      <w:rPr>
        <w:rFonts w:hint="default"/>
      </w:rPr>
    </w:lvl>
  </w:abstractNum>
  <w:abstractNum w:abstractNumId="1">
    <w:nsid w:val="9F39460D"/>
    <w:multiLevelType w:val="singleLevel"/>
    <w:tmpl w:val="9F39460D"/>
    <w:lvl w:ilvl="0" w:tentative="0">
      <w:start w:val="1"/>
      <w:numFmt w:val="lowerLetter"/>
      <w:lvlText w:val="%1."/>
      <w:lvlJc w:val="left"/>
      <w:pPr>
        <w:ind w:left="425" w:hanging="425"/>
      </w:pPr>
      <w:rPr>
        <w:rFonts w:hint="default"/>
      </w:rPr>
    </w:lvl>
  </w:abstractNum>
  <w:abstractNum w:abstractNumId="2">
    <w:nsid w:val="B1E274C8"/>
    <w:multiLevelType w:val="singleLevel"/>
    <w:tmpl w:val="B1E274C8"/>
    <w:lvl w:ilvl="0" w:tentative="0">
      <w:start w:val="1"/>
      <w:numFmt w:val="lowerLetter"/>
      <w:lvlText w:val="%1."/>
      <w:lvlJc w:val="left"/>
      <w:pPr>
        <w:ind w:left="425" w:hanging="425"/>
      </w:pPr>
      <w:rPr>
        <w:rFonts w:hint="default"/>
      </w:rPr>
    </w:lvl>
  </w:abstractNum>
  <w:abstractNum w:abstractNumId="3">
    <w:nsid w:val="BC0BF47B"/>
    <w:multiLevelType w:val="singleLevel"/>
    <w:tmpl w:val="BC0BF47B"/>
    <w:lvl w:ilvl="0" w:tentative="0">
      <w:start w:val="1"/>
      <w:numFmt w:val="lowerLetter"/>
      <w:lvlText w:val="%1."/>
      <w:lvlJc w:val="left"/>
      <w:pPr>
        <w:ind w:left="425" w:hanging="425"/>
      </w:pPr>
      <w:rPr>
        <w:rFonts w:hint="default"/>
      </w:rPr>
    </w:lvl>
  </w:abstractNum>
  <w:abstractNum w:abstractNumId="4">
    <w:nsid w:val="C0639491"/>
    <w:multiLevelType w:val="singleLevel"/>
    <w:tmpl w:val="C0639491"/>
    <w:lvl w:ilvl="0" w:tentative="0">
      <w:start w:val="1"/>
      <w:numFmt w:val="lowerLetter"/>
      <w:lvlText w:val="%1."/>
      <w:lvlJc w:val="left"/>
      <w:pPr>
        <w:ind w:left="425" w:hanging="425"/>
      </w:pPr>
      <w:rPr>
        <w:rFonts w:hint="default"/>
      </w:rPr>
    </w:lvl>
  </w:abstractNum>
  <w:abstractNum w:abstractNumId="5">
    <w:nsid w:val="C3807B20"/>
    <w:multiLevelType w:val="singleLevel"/>
    <w:tmpl w:val="C3807B20"/>
    <w:lvl w:ilvl="0" w:tentative="0">
      <w:start w:val="1"/>
      <w:numFmt w:val="lowerLetter"/>
      <w:lvlText w:val="%1."/>
      <w:lvlJc w:val="left"/>
      <w:pPr>
        <w:ind w:left="425" w:hanging="425"/>
      </w:pPr>
      <w:rPr>
        <w:rFonts w:hint="default"/>
      </w:rPr>
    </w:lvl>
  </w:abstractNum>
  <w:abstractNum w:abstractNumId="6">
    <w:nsid w:val="C532DFC4"/>
    <w:multiLevelType w:val="singleLevel"/>
    <w:tmpl w:val="C532DFC4"/>
    <w:lvl w:ilvl="0" w:tentative="0">
      <w:start w:val="1"/>
      <w:numFmt w:val="lowerLetter"/>
      <w:lvlText w:val="%1."/>
      <w:lvlJc w:val="left"/>
      <w:pPr>
        <w:ind w:left="425" w:hanging="425"/>
      </w:pPr>
      <w:rPr>
        <w:rFonts w:hint="default"/>
      </w:rPr>
    </w:lvl>
  </w:abstractNum>
  <w:abstractNum w:abstractNumId="7">
    <w:nsid w:val="C83BDEB6"/>
    <w:multiLevelType w:val="singleLevel"/>
    <w:tmpl w:val="C83BDEB6"/>
    <w:lvl w:ilvl="0" w:tentative="0">
      <w:start w:val="1"/>
      <w:numFmt w:val="lowerLetter"/>
      <w:lvlText w:val="%1."/>
      <w:lvlJc w:val="left"/>
      <w:pPr>
        <w:ind w:left="425" w:hanging="425"/>
      </w:pPr>
      <w:rPr>
        <w:rFonts w:hint="default"/>
      </w:rPr>
    </w:lvl>
  </w:abstractNum>
  <w:abstractNum w:abstractNumId="8">
    <w:nsid w:val="E9233AA2"/>
    <w:multiLevelType w:val="singleLevel"/>
    <w:tmpl w:val="E9233AA2"/>
    <w:lvl w:ilvl="0" w:tentative="0">
      <w:start w:val="1"/>
      <w:numFmt w:val="lowerLetter"/>
      <w:lvlText w:val="%1."/>
      <w:lvlJc w:val="left"/>
      <w:pPr>
        <w:ind w:left="425" w:hanging="425"/>
      </w:pPr>
      <w:rPr>
        <w:rFonts w:hint="default"/>
      </w:rPr>
    </w:lvl>
  </w:abstractNum>
  <w:abstractNum w:abstractNumId="9">
    <w:nsid w:val="F41E0BDA"/>
    <w:multiLevelType w:val="singleLevel"/>
    <w:tmpl w:val="F41E0BDA"/>
    <w:lvl w:ilvl="0" w:tentative="0">
      <w:start w:val="1"/>
      <w:numFmt w:val="decimal"/>
      <w:lvlText w:val="%1."/>
      <w:lvlJc w:val="left"/>
      <w:pPr>
        <w:ind w:left="425" w:hanging="425"/>
      </w:pPr>
      <w:rPr>
        <w:rFonts w:hint="default" w:ascii="宋体" w:hAnsi="宋体" w:eastAsia="宋体" w:cs="宋体"/>
        <w:sz w:val="28"/>
        <w:szCs w:val="28"/>
      </w:rPr>
    </w:lvl>
  </w:abstractNum>
  <w:abstractNum w:abstractNumId="10">
    <w:nsid w:val="12F5244A"/>
    <w:multiLevelType w:val="singleLevel"/>
    <w:tmpl w:val="12F5244A"/>
    <w:lvl w:ilvl="0" w:tentative="0">
      <w:start w:val="1"/>
      <w:numFmt w:val="lowerLetter"/>
      <w:lvlText w:val="%1."/>
      <w:lvlJc w:val="left"/>
      <w:pPr>
        <w:ind w:left="425" w:hanging="425"/>
      </w:pPr>
      <w:rPr>
        <w:rFonts w:hint="default"/>
      </w:rPr>
    </w:lvl>
  </w:abstractNum>
  <w:abstractNum w:abstractNumId="11">
    <w:nsid w:val="28EF50E6"/>
    <w:multiLevelType w:val="singleLevel"/>
    <w:tmpl w:val="28EF50E6"/>
    <w:lvl w:ilvl="0" w:tentative="0">
      <w:start w:val="1"/>
      <w:numFmt w:val="lowerLetter"/>
      <w:lvlText w:val="%1."/>
      <w:lvlJc w:val="left"/>
      <w:pPr>
        <w:ind w:left="425" w:hanging="425"/>
      </w:pPr>
      <w:rPr>
        <w:rFonts w:hint="default"/>
      </w:rPr>
    </w:lvl>
  </w:abstractNum>
  <w:abstractNum w:abstractNumId="12">
    <w:nsid w:val="3CC0A98D"/>
    <w:multiLevelType w:val="singleLevel"/>
    <w:tmpl w:val="3CC0A98D"/>
    <w:lvl w:ilvl="0" w:tentative="0">
      <w:start w:val="1"/>
      <w:numFmt w:val="lowerLetter"/>
      <w:lvlText w:val="%1."/>
      <w:lvlJc w:val="left"/>
      <w:pPr>
        <w:tabs>
          <w:tab w:val="left" w:pos="312"/>
        </w:tabs>
      </w:pPr>
    </w:lvl>
  </w:abstractNum>
  <w:abstractNum w:abstractNumId="13">
    <w:nsid w:val="45D27DE4"/>
    <w:multiLevelType w:val="singleLevel"/>
    <w:tmpl w:val="45D27DE4"/>
    <w:lvl w:ilvl="0" w:tentative="0">
      <w:start w:val="1"/>
      <w:numFmt w:val="lowerLetter"/>
      <w:lvlText w:val="%1."/>
      <w:lvlJc w:val="left"/>
      <w:pPr>
        <w:ind w:left="425" w:hanging="425"/>
      </w:pPr>
      <w:rPr>
        <w:rFonts w:hint="default"/>
      </w:rPr>
    </w:lvl>
  </w:abstractNum>
  <w:abstractNum w:abstractNumId="14">
    <w:nsid w:val="495EB299"/>
    <w:multiLevelType w:val="singleLevel"/>
    <w:tmpl w:val="495EB299"/>
    <w:lvl w:ilvl="0" w:tentative="0">
      <w:start w:val="1"/>
      <w:numFmt w:val="lowerLetter"/>
      <w:lvlText w:val="%1."/>
      <w:lvlJc w:val="left"/>
      <w:pPr>
        <w:ind w:left="425" w:hanging="425"/>
      </w:pPr>
      <w:rPr>
        <w:rFonts w:hint="default"/>
      </w:rPr>
    </w:lvl>
  </w:abstractNum>
  <w:abstractNum w:abstractNumId="15">
    <w:nsid w:val="58939326"/>
    <w:multiLevelType w:val="singleLevel"/>
    <w:tmpl w:val="58939326"/>
    <w:lvl w:ilvl="0" w:tentative="0">
      <w:start w:val="1"/>
      <w:numFmt w:val="lowerLetter"/>
      <w:lvlText w:val="%1."/>
      <w:lvlJc w:val="left"/>
      <w:pPr>
        <w:ind w:left="425" w:hanging="425"/>
      </w:pPr>
      <w:rPr>
        <w:rFonts w:hint="default"/>
      </w:rPr>
    </w:lvl>
  </w:abstractNum>
  <w:abstractNum w:abstractNumId="16">
    <w:nsid w:val="622E48C2"/>
    <w:multiLevelType w:val="singleLevel"/>
    <w:tmpl w:val="622E48C2"/>
    <w:lvl w:ilvl="0" w:tentative="0">
      <w:start w:val="1"/>
      <w:numFmt w:val="lowerLetter"/>
      <w:lvlText w:val="%1."/>
      <w:lvlJc w:val="left"/>
      <w:pPr>
        <w:ind w:left="425" w:hanging="425"/>
      </w:pPr>
      <w:rPr>
        <w:rFonts w:hint="default"/>
      </w:rPr>
    </w:lvl>
  </w:abstractNum>
  <w:num w:numId="1">
    <w:abstractNumId w:val="10"/>
  </w:num>
  <w:num w:numId="2">
    <w:abstractNumId w:val="3"/>
  </w:num>
  <w:num w:numId="3">
    <w:abstractNumId w:val="0"/>
  </w:num>
  <w:num w:numId="4">
    <w:abstractNumId w:val="8"/>
  </w:num>
  <w:num w:numId="5">
    <w:abstractNumId w:val="7"/>
  </w:num>
  <w:num w:numId="6">
    <w:abstractNumId w:val="14"/>
  </w:num>
  <w:num w:numId="7">
    <w:abstractNumId w:val="5"/>
  </w:num>
  <w:num w:numId="8">
    <w:abstractNumId w:val="1"/>
  </w:num>
  <w:num w:numId="9">
    <w:abstractNumId w:val="9"/>
  </w:num>
  <w:num w:numId="10">
    <w:abstractNumId w:val="4"/>
  </w:num>
  <w:num w:numId="11">
    <w:abstractNumId w:val="11"/>
  </w:num>
  <w:num w:numId="12">
    <w:abstractNumId w:val="12"/>
  </w:num>
  <w:num w:numId="13">
    <w:abstractNumId w:val="15"/>
  </w:num>
  <w:num w:numId="14">
    <w:abstractNumId w:val="2"/>
  </w:num>
  <w:num w:numId="15">
    <w:abstractNumId w:val="6"/>
  </w:num>
  <w:num w:numId="16">
    <w:abstractNumId w:val="16"/>
  </w:num>
  <w:num w:numId="1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60"/>
  <w:drawingGridVerticalSpacing w:val="435"/>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21FB"/>
    <w:rsid w:val="000B3FE6"/>
    <w:rsid w:val="000D1044"/>
    <w:rsid w:val="0011229D"/>
    <w:rsid w:val="001B51D2"/>
    <w:rsid w:val="00217803"/>
    <w:rsid w:val="003C11B3"/>
    <w:rsid w:val="004A1F31"/>
    <w:rsid w:val="004E15FA"/>
    <w:rsid w:val="0053644A"/>
    <w:rsid w:val="00655E55"/>
    <w:rsid w:val="006A4D5B"/>
    <w:rsid w:val="007B3EA7"/>
    <w:rsid w:val="007B5103"/>
    <w:rsid w:val="00846631"/>
    <w:rsid w:val="008675B6"/>
    <w:rsid w:val="00894757"/>
    <w:rsid w:val="00921CE8"/>
    <w:rsid w:val="00952315"/>
    <w:rsid w:val="00A117AE"/>
    <w:rsid w:val="00A1770E"/>
    <w:rsid w:val="00A548E4"/>
    <w:rsid w:val="00B056C6"/>
    <w:rsid w:val="00B424E5"/>
    <w:rsid w:val="00B43E73"/>
    <w:rsid w:val="00B85880"/>
    <w:rsid w:val="00BA5F51"/>
    <w:rsid w:val="00BC7519"/>
    <w:rsid w:val="00C421FB"/>
    <w:rsid w:val="00C75D83"/>
    <w:rsid w:val="00CE000A"/>
    <w:rsid w:val="00D90030"/>
    <w:rsid w:val="00E4518A"/>
    <w:rsid w:val="00E81343"/>
    <w:rsid w:val="00ED1BCF"/>
    <w:rsid w:val="00FF0F2A"/>
    <w:rsid w:val="00FF7A2F"/>
    <w:rsid w:val="02915115"/>
    <w:rsid w:val="05C57932"/>
    <w:rsid w:val="064465A6"/>
    <w:rsid w:val="066B650C"/>
    <w:rsid w:val="06E92B85"/>
    <w:rsid w:val="097F267C"/>
    <w:rsid w:val="0E593D51"/>
    <w:rsid w:val="0F315B81"/>
    <w:rsid w:val="114B0C1A"/>
    <w:rsid w:val="15AE4494"/>
    <w:rsid w:val="176F3370"/>
    <w:rsid w:val="177D3F4D"/>
    <w:rsid w:val="17BF743E"/>
    <w:rsid w:val="19B91B4E"/>
    <w:rsid w:val="1AFF0862"/>
    <w:rsid w:val="1AFF2FDA"/>
    <w:rsid w:val="1B894C5A"/>
    <w:rsid w:val="1BDF6759"/>
    <w:rsid w:val="1C9A2107"/>
    <w:rsid w:val="1D9355FD"/>
    <w:rsid w:val="1DA6032A"/>
    <w:rsid w:val="1E7C1730"/>
    <w:rsid w:val="1F517A87"/>
    <w:rsid w:val="1FDE1FCD"/>
    <w:rsid w:val="1FF934AE"/>
    <w:rsid w:val="20B25C13"/>
    <w:rsid w:val="21680223"/>
    <w:rsid w:val="24C031AD"/>
    <w:rsid w:val="257D5A94"/>
    <w:rsid w:val="292B6124"/>
    <w:rsid w:val="2A221212"/>
    <w:rsid w:val="2A273A40"/>
    <w:rsid w:val="2CC91531"/>
    <w:rsid w:val="2D8E4739"/>
    <w:rsid w:val="2E377AB0"/>
    <w:rsid w:val="30276FBD"/>
    <w:rsid w:val="30F0389F"/>
    <w:rsid w:val="310478DF"/>
    <w:rsid w:val="34C219AA"/>
    <w:rsid w:val="34C3370E"/>
    <w:rsid w:val="359F7BA0"/>
    <w:rsid w:val="35AA3C77"/>
    <w:rsid w:val="39047434"/>
    <w:rsid w:val="3A512067"/>
    <w:rsid w:val="3B2A751E"/>
    <w:rsid w:val="3FEF6A41"/>
    <w:rsid w:val="421257FA"/>
    <w:rsid w:val="427F42ED"/>
    <w:rsid w:val="478F7489"/>
    <w:rsid w:val="483E3A3B"/>
    <w:rsid w:val="495251E4"/>
    <w:rsid w:val="4C3F3230"/>
    <w:rsid w:val="4C8C1FF3"/>
    <w:rsid w:val="4C950515"/>
    <w:rsid w:val="514F71B7"/>
    <w:rsid w:val="530A5D60"/>
    <w:rsid w:val="54465A74"/>
    <w:rsid w:val="5458027F"/>
    <w:rsid w:val="54DC03A0"/>
    <w:rsid w:val="55F444B2"/>
    <w:rsid w:val="562E2364"/>
    <w:rsid w:val="5AD47CBF"/>
    <w:rsid w:val="5B0D75FF"/>
    <w:rsid w:val="5F4D0D12"/>
    <w:rsid w:val="610677FB"/>
    <w:rsid w:val="623830F5"/>
    <w:rsid w:val="63810C20"/>
    <w:rsid w:val="63E62D16"/>
    <w:rsid w:val="650D3A9A"/>
    <w:rsid w:val="663E0CFF"/>
    <w:rsid w:val="6A4647AC"/>
    <w:rsid w:val="6A844026"/>
    <w:rsid w:val="6AC6415F"/>
    <w:rsid w:val="6C9D3705"/>
    <w:rsid w:val="6E035962"/>
    <w:rsid w:val="6FB305BE"/>
    <w:rsid w:val="6FFA4BAD"/>
    <w:rsid w:val="70945782"/>
    <w:rsid w:val="71D3727C"/>
    <w:rsid w:val="72334CB2"/>
    <w:rsid w:val="740E1725"/>
    <w:rsid w:val="74C578B2"/>
    <w:rsid w:val="754E523E"/>
    <w:rsid w:val="7587453F"/>
    <w:rsid w:val="77E5728F"/>
    <w:rsid w:val="78114224"/>
    <w:rsid w:val="789550AB"/>
    <w:rsid w:val="7A061E28"/>
    <w:rsid w:val="7CCB5E54"/>
    <w:rsid w:val="7CD957E4"/>
    <w:rsid w:val="7E9B01D1"/>
    <w:rsid w:val="7EBA7C16"/>
    <w:rsid w:val="7F5A4B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仿宋_GB2312" w:asciiTheme="minorHAnsi" w:hAnsiTheme="minorHAnsi" w:cstheme="minorBidi"/>
      <w:kern w:val="2"/>
      <w:sz w:val="32"/>
      <w:szCs w:val="24"/>
      <w:lang w:val="en-US" w:eastAsia="zh-CN" w:bidi="ar-SA"/>
    </w:rPr>
  </w:style>
  <w:style w:type="character" w:default="1" w:styleId="5">
    <w:name w:val="Default Paragraph Font"/>
    <w:unhideWhenUsed/>
    <w:qFormat/>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Plain Text"/>
    <w:basedOn w:val="1"/>
    <w:unhideWhenUsed/>
    <w:qFormat/>
    <w:uiPriority w:val="99"/>
    <w:rPr>
      <w:rFonts w:ascii="宋体" w:hAnsi="Courier New" w:eastAsia="宋体" w:cs="宋体"/>
      <w:sz w:val="21"/>
      <w:szCs w:val="21"/>
    </w:rPr>
  </w:style>
  <w:style w:type="paragraph" w:styleId="3">
    <w:name w:val="footer"/>
    <w:basedOn w:val="1"/>
    <w:link w:val="10"/>
    <w:unhideWhenUsed/>
    <w:qFormat/>
    <w:uiPriority w:val="0"/>
    <w:pPr>
      <w:tabs>
        <w:tab w:val="center" w:pos="4153"/>
        <w:tab w:val="right" w:pos="8306"/>
      </w:tabs>
      <w:snapToGrid w:val="0"/>
      <w:jc w:val="left"/>
    </w:pPr>
    <w:rPr>
      <w:sz w:val="18"/>
      <w:szCs w:val="18"/>
    </w:rPr>
  </w:style>
  <w:style w:type="paragraph" w:styleId="4">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character" w:styleId="6">
    <w:name w:val="page number"/>
    <w:basedOn w:val="5"/>
    <w:qFormat/>
    <w:uiPriority w:val="0"/>
  </w:style>
  <w:style w:type="table" w:styleId="8">
    <w:name w:val="Table Grid"/>
    <w:basedOn w:val="7"/>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
    <w:name w:val="页眉 字符"/>
    <w:basedOn w:val="5"/>
    <w:link w:val="4"/>
    <w:qFormat/>
    <w:uiPriority w:val="99"/>
    <w:rPr>
      <w:sz w:val="18"/>
      <w:szCs w:val="18"/>
    </w:rPr>
  </w:style>
  <w:style w:type="character" w:customStyle="1" w:styleId="10">
    <w:name w:val="页脚 字符"/>
    <w:basedOn w:val="5"/>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3.xml"/><Relationship Id="rId55" Type="http://schemas.openxmlformats.org/officeDocument/2006/relationships/fontTable" Target="fontTable.xml"/><Relationship Id="rId54" Type="http://schemas.openxmlformats.org/officeDocument/2006/relationships/customXml" Target="../customXml/item2.xml"/><Relationship Id="rId53" Type="http://schemas.openxmlformats.org/officeDocument/2006/relationships/numbering" Target="numbering.xml"/><Relationship Id="rId52" Type="http://schemas.openxmlformats.org/officeDocument/2006/relationships/customXml" Target="../customXml/item1.xml"/><Relationship Id="rId51" Type="http://schemas.openxmlformats.org/officeDocument/2006/relationships/image" Target="media/image44.png"/><Relationship Id="rId50" Type="http://schemas.openxmlformats.org/officeDocument/2006/relationships/image" Target="media/image43.png"/><Relationship Id="rId5" Type="http://schemas.openxmlformats.org/officeDocument/2006/relationships/footer" Target="footer2.xml"/><Relationship Id="rId49" Type="http://schemas.openxmlformats.org/officeDocument/2006/relationships/image" Target="media/image42.png"/><Relationship Id="rId48" Type="http://schemas.openxmlformats.org/officeDocument/2006/relationships/image" Target="media/image41.png"/><Relationship Id="rId47" Type="http://schemas.openxmlformats.org/officeDocument/2006/relationships/image" Target="media/image40.png"/><Relationship Id="rId46" Type="http://schemas.openxmlformats.org/officeDocument/2006/relationships/image" Target="media/image39.png"/><Relationship Id="rId45" Type="http://schemas.openxmlformats.org/officeDocument/2006/relationships/image" Target="media/image38.png"/><Relationship Id="rId44" Type="http://schemas.openxmlformats.org/officeDocument/2006/relationships/image" Target="media/image37.png"/><Relationship Id="rId43" Type="http://schemas.openxmlformats.org/officeDocument/2006/relationships/image" Target="media/image36.png"/><Relationship Id="rId42" Type="http://schemas.openxmlformats.org/officeDocument/2006/relationships/image" Target="media/image35.png"/><Relationship Id="rId41" Type="http://schemas.openxmlformats.org/officeDocument/2006/relationships/image" Target="media/image34.png"/><Relationship Id="rId40" Type="http://schemas.openxmlformats.org/officeDocument/2006/relationships/image" Target="media/image33.png"/><Relationship Id="rId4" Type="http://schemas.openxmlformats.org/officeDocument/2006/relationships/footer" Target="footer1.xml"/><Relationship Id="rId39" Type="http://schemas.openxmlformats.org/officeDocument/2006/relationships/image" Target="media/image32.png"/><Relationship Id="rId38" Type="http://schemas.openxmlformats.org/officeDocument/2006/relationships/image" Target="media/image31.png"/><Relationship Id="rId37" Type="http://schemas.openxmlformats.org/officeDocument/2006/relationships/image" Target="media/image30.png"/><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jpeg"/><Relationship Id="rId22" Type="http://schemas.openxmlformats.org/officeDocument/2006/relationships/image" Target="media/image15.jpeg"/><Relationship Id="rId21" Type="http://schemas.openxmlformats.org/officeDocument/2006/relationships/image" Target="media/image14.jpeg"/><Relationship Id="rId20" Type="http://schemas.openxmlformats.org/officeDocument/2006/relationships/image" Target="media/image13.jpeg"/><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media/image11.jpeg"/><Relationship Id="rId17" Type="http://schemas.openxmlformats.org/officeDocument/2006/relationships/image" Target="media/image10.jpeg"/><Relationship Id="rId16" Type="http://schemas.openxmlformats.org/officeDocument/2006/relationships/image" Target="media/image9.jpeg"/><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5F61ED1-5382-4362-B74C-A1FD183BFB4A}">
  <ds:schemaRefs/>
</ds:datastoreItem>
</file>

<file path=docProps/app.xml><?xml version="1.0" encoding="utf-8"?>
<Properties xmlns="http://schemas.openxmlformats.org/officeDocument/2006/extended-properties" xmlns:vt="http://schemas.openxmlformats.org/officeDocument/2006/docPropsVTypes">
  <Template>Normal.dotm</Template>
  <Pages>57</Pages>
  <Words>1231</Words>
  <Characters>7018</Characters>
  <Lines>58</Lines>
  <Paragraphs>16</Paragraphs>
  <ScaleCrop>false</ScaleCrop>
  <LinksUpToDate>false</LinksUpToDate>
  <CharactersWithSpaces>8233</CharactersWithSpaces>
  <Application>WPS Office_10.8.0.6157_F1E327BC-269C-435d-A152-05C5408002CA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2021-12-06T08:11:00Z</dcterms:created>
  <dc:creator>文 隽</dc:creator>
  <cp:lastModifiedBy>吕婉明</cp:lastModifiedBy>
  <dcterms:modified xsi:type="dcterms:W3CDTF">2022-05-20T06:36:18Z</dcterms:modified>
  <dc:title>顺德政府质量奖评价细则</dc:title>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2052-10.8.0.6157</vt:lpwstr>
  </property>
</Properties>
</file>